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widowControl w:val="0"/>
        <w:spacing w:before="0" w:after="156" w:line="300" w:lineRule="auto"/>
        <w:ind w:left="0" w:right="0" w:firstLine="0"/>
        <w:jc w:val="center"/>
        <w:rPr>
          <w:rFonts w:ascii="Times New Roman" w:hAnsi="Times New Roman" w:eastAsia="Times New Roman" w:cs="Times New Roman"/>
          <w:b/>
          <w:color w:val="auto"/>
          <w:spacing w:val="0"/>
          <w:position w:val="0"/>
          <w:sz w:val="30"/>
          <w:shd w:val="clear" w:fill="auto"/>
        </w:rPr>
      </w:pPr>
      <w:r>
        <w:rPr>
          <w:rFonts w:ascii="宋体" w:hAnsi="宋体" w:eastAsia="宋体" w:cs="宋体"/>
          <w:b/>
          <w:color w:val="auto"/>
          <w:spacing w:val="0"/>
          <w:position w:val="0"/>
          <w:sz w:val="30"/>
          <w:shd w:val="clear" w:fill="auto"/>
        </w:rPr>
        <w:t>南京农业大学无锡渔业学院</w:t>
      </w:r>
    </w:p>
    <w:p>
      <w:pPr>
        <w:widowControl w:val="0"/>
        <w:spacing w:before="0" w:after="156" w:line="300" w:lineRule="auto"/>
        <w:ind w:left="0" w:right="0" w:firstLine="0"/>
        <w:jc w:val="center"/>
        <w:rPr>
          <w:rFonts w:ascii="Times New Roman" w:hAnsi="Times New Roman" w:eastAsia="Times New Roman" w:cs="Times New Roman"/>
          <w:b/>
          <w:color w:val="auto"/>
          <w:spacing w:val="0"/>
          <w:position w:val="0"/>
          <w:sz w:val="30"/>
          <w:shd w:val="clear" w:fill="auto"/>
        </w:rPr>
      </w:pPr>
      <w:r>
        <w:rPr>
          <w:rFonts w:ascii="Times New Roman" w:hAnsi="Times New Roman" w:eastAsia="Times New Roman" w:cs="Times New Roman"/>
          <w:b/>
          <w:color w:val="auto"/>
          <w:spacing w:val="0"/>
          <w:position w:val="0"/>
          <w:sz w:val="30"/>
          <w:shd w:val="clear" w:fill="auto"/>
        </w:rPr>
        <w:t>2016-2018</w:t>
      </w:r>
      <w:r>
        <w:rPr>
          <w:rFonts w:ascii="宋体" w:hAnsi="宋体" w:eastAsia="宋体" w:cs="宋体"/>
          <w:b/>
          <w:color w:val="auto"/>
          <w:spacing w:val="0"/>
          <w:position w:val="0"/>
          <w:sz w:val="30"/>
          <w:shd w:val="clear" w:fill="auto"/>
        </w:rPr>
        <w:t>年渔业专业硕士项目招生简章</w:t>
      </w:r>
    </w:p>
    <w:p>
      <w:pPr>
        <w:widowControl w:val="0"/>
        <w:spacing w:before="0" w:after="156" w:line="300" w:lineRule="auto"/>
        <w:ind w:left="0" w:right="0" w:firstLine="0"/>
        <w:jc w:val="center"/>
        <w:rPr>
          <w:rFonts w:ascii="Times New Roman" w:hAnsi="Times New Roman" w:eastAsia="Times New Roman" w:cs="Times New Roman"/>
          <w:b/>
          <w:color w:val="auto"/>
          <w:spacing w:val="0"/>
          <w:position w:val="0"/>
          <w:sz w:val="30"/>
          <w:shd w:val="clear" w:fill="auto"/>
        </w:rPr>
      </w:pPr>
      <w:r>
        <w:rPr>
          <w:rFonts w:ascii="Times New Roman" w:hAnsi="Times New Roman" w:eastAsia="Times New Roman" w:cs="Times New Roman"/>
          <w:b/>
          <w:color w:val="auto"/>
          <w:spacing w:val="0"/>
          <w:position w:val="0"/>
          <w:sz w:val="30"/>
          <w:shd w:val="clear" w:fill="auto"/>
        </w:rPr>
        <w:t>2016.09.12-2018.09.11</w:t>
      </w:r>
    </w:p>
    <w:p>
      <w:pPr>
        <w:spacing w:before="0" w:after="156" w:line="300" w:lineRule="auto"/>
        <w:ind w:left="0" w:right="0" w:firstLine="0"/>
        <w:jc w:val="both"/>
        <w:rPr>
          <w:rFonts w:ascii="Times New Roman" w:hAnsi="Times New Roman" w:eastAsia="Times New Roman" w:cs="Times New Roman"/>
          <w:b/>
          <w:color w:val="auto"/>
          <w:spacing w:val="0"/>
          <w:position w:val="0"/>
          <w:sz w:val="28"/>
          <w:shd w:val="clear" w:fill="auto"/>
        </w:rPr>
      </w:pPr>
      <w:r>
        <w:rPr>
          <w:rFonts w:ascii="宋体" w:hAnsi="宋体" w:eastAsia="宋体" w:cs="宋体"/>
          <w:b/>
          <w:color w:val="auto"/>
          <w:spacing w:val="0"/>
          <w:position w:val="0"/>
          <w:sz w:val="28"/>
          <w:shd w:val="clear" w:fill="auto"/>
        </w:rPr>
        <w:t>一、项目概况</w:t>
      </w:r>
    </w:p>
    <w:p>
      <w:pPr>
        <w:numPr>
          <w:ilvl w:val="0"/>
          <w:numId w:val="1"/>
        </w:numPr>
        <w:spacing w:before="0" w:after="156" w:line="300" w:lineRule="auto"/>
        <w:ind w:left="360" w:right="0" w:hanging="360"/>
        <w:jc w:val="both"/>
        <w:rPr>
          <w:rFonts w:ascii="Times New Roman" w:hAnsi="Times New Roman" w:eastAsia="Times New Roman" w:cs="Times New Roman"/>
          <w:b/>
          <w:color w:val="auto"/>
          <w:spacing w:val="0"/>
          <w:position w:val="0"/>
          <w:sz w:val="28"/>
          <w:shd w:val="clear" w:fill="auto"/>
        </w:rPr>
      </w:pPr>
      <w:r>
        <w:rPr>
          <w:rFonts w:ascii="宋体" w:hAnsi="宋体" w:eastAsia="宋体" w:cs="宋体"/>
          <w:b/>
          <w:color w:val="auto"/>
          <w:spacing w:val="0"/>
          <w:position w:val="0"/>
          <w:sz w:val="28"/>
          <w:shd w:val="clear" w:fill="auto"/>
        </w:rPr>
        <w:t>单位简介</w:t>
      </w:r>
    </w:p>
    <w:p>
      <w:pPr>
        <w:spacing w:before="0" w:after="156" w:line="30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南京农业大学是一所以农业和生命科学为优势和特色，农、理、经、管、工、文、法学多学科协调发展的教育部直属全国重点大学，是国家“</w:t>
      </w:r>
      <w:r>
        <w:rPr>
          <w:rFonts w:ascii="Times New Roman" w:hAnsi="Times New Roman" w:eastAsia="Times New Roman" w:cs="Times New Roman"/>
          <w:color w:val="auto"/>
          <w:spacing w:val="0"/>
          <w:position w:val="0"/>
          <w:sz w:val="24"/>
          <w:shd w:val="clear" w:fill="auto"/>
        </w:rPr>
        <w:t>211</w:t>
      </w:r>
      <w:r>
        <w:rPr>
          <w:rFonts w:ascii="宋体" w:hAnsi="宋体" w:eastAsia="宋体" w:cs="宋体"/>
          <w:color w:val="auto"/>
          <w:spacing w:val="0"/>
          <w:position w:val="0"/>
          <w:sz w:val="24"/>
          <w:shd w:val="clear" w:fill="auto"/>
        </w:rPr>
        <w:t>工程”重点建设大学和“</w:t>
      </w:r>
      <w:r>
        <w:rPr>
          <w:rFonts w:ascii="Times New Roman" w:hAnsi="Times New Roman" w:eastAsia="Times New Roman" w:cs="Times New Roman"/>
          <w:color w:val="auto"/>
          <w:spacing w:val="0"/>
          <w:position w:val="0"/>
          <w:sz w:val="24"/>
          <w:shd w:val="clear" w:fill="auto"/>
        </w:rPr>
        <w:t>985</w:t>
      </w:r>
      <w:r>
        <w:rPr>
          <w:rFonts w:ascii="宋体" w:hAnsi="宋体" w:eastAsia="宋体" w:cs="宋体"/>
          <w:color w:val="auto"/>
          <w:spacing w:val="0"/>
          <w:position w:val="0"/>
          <w:sz w:val="24"/>
          <w:shd w:val="clear" w:fill="auto"/>
        </w:rPr>
        <w:t>优势学科创新平台”高校之一。在百余年办学历程中，学校先后培养造就了包括</w:t>
      </w:r>
      <w:r>
        <w:rPr>
          <w:rFonts w:ascii="Times New Roman" w:hAnsi="Times New Roman" w:eastAsia="Times New Roman" w:cs="Times New Roman"/>
          <w:color w:val="auto"/>
          <w:spacing w:val="0"/>
          <w:position w:val="0"/>
          <w:sz w:val="24"/>
          <w:shd w:val="clear" w:fill="auto"/>
        </w:rPr>
        <w:t>51</w:t>
      </w:r>
      <w:r>
        <w:rPr>
          <w:rFonts w:ascii="宋体" w:hAnsi="宋体" w:eastAsia="宋体" w:cs="宋体"/>
          <w:color w:val="auto"/>
          <w:spacing w:val="0"/>
          <w:position w:val="0"/>
          <w:sz w:val="24"/>
          <w:shd w:val="clear" w:fill="auto"/>
        </w:rPr>
        <w:t>位院士在内的</w:t>
      </w:r>
      <w:r>
        <w:rPr>
          <w:rFonts w:ascii="Times New Roman" w:hAnsi="Times New Roman" w:eastAsia="Times New Roman" w:cs="Times New Roman"/>
          <w:color w:val="auto"/>
          <w:spacing w:val="0"/>
          <w:position w:val="0"/>
          <w:sz w:val="24"/>
          <w:shd w:val="clear" w:fill="auto"/>
        </w:rPr>
        <w:t>20</w:t>
      </w:r>
      <w:r>
        <w:rPr>
          <w:rFonts w:ascii="宋体" w:hAnsi="宋体" w:eastAsia="宋体" w:cs="宋体"/>
          <w:color w:val="auto"/>
          <w:spacing w:val="0"/>
          <w:position w:val="0"/>
          <w:sz w:val="24"/>
          <w:shd w:val="clear" w:fill="auto"/>
        </w:rPr>
        <w:t>余万名优秀人才。 </w:t>
      </w:r>
    </w:p>
    <w:p>
      <w:pPr>
        <w:spacing w:before="0" w:after="156" w:line="30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南京农业大学无锡渔业学院是中国水产科学研究院淡水渔业研究中心与南京农业大学在长期合作办学的基础上于</w:t>
      </w:r>
      <w:r>
        <w:rPr>
          <w:rFonts w:ascii="Times New Roman" w:hAnsi="Times New Roman" w:eastAsia="Times New Roman" w:cs="Times New Roman"/>
          <w:color w:val="auto"/>
          <w:spacing w:val="0"/>
          <w:position w:val="0"/>
          <w:sz w:val="24"/>
          <w:shd w:val="clear" w:fill="auto"/>
        </w:rPr>
        <w:t>1993</w:t>
      </w:r>
      <w:r>
        <w:rPr>
          <w:rFonts w:ascii="宋体" w:hAnsi="宋体" w:eastAsia="宋体" w:cs="宋体"/>
          <w:color w:val="auto"/>
          <w:spacing w:val="0"/>
          <w:position w:val="0"/>
          <w:sz w:val="24"/>
          <w:shd w:val="clear" w:fill="auto"/>
        </w:rPr>
        <w:t>年正式成立，并于</w:t>
      </w:r>
      <w:r>
        <w:rPr>
          <w:rFonts w:ascii="Times New Roman" w:hAnsi="Times New Roman" w:eastAsia="Times New Roman" w:cs="Times New Roman"/>
          <w:color w:val="auto"/>
          <w:spacing w:val="0"/>
          <w:position w:val="0"/>
          <w:sz w:val="24"/>
          <w:shd w:val="clear" w:fill="auto"/>
        </w:rPr>
        <w:t>1996</w:t>
      </w:r>
      <w:r>
        <w:rPr>
          <w:rFonts w:ascii="宋体" w:hAnsi="宋体" w:eastAsia="宋体" w:cs="宋体"/>
          <w:color w:val="auto"/>
          <w:spacing w:val="0"/>
          <w:position w:val="0"/>
          <w:sz w:val="24"/>
          <w:shd w:val="clear" w:fill="auto"/>
        </w:rPr>
        <w:t>年开始招收培养研究生，现拥有水产养殖学博士学位授权一级学科点，拥有水产养殖学和水生生物学</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个博士、硕士学位授权点和</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个水产养殖学博士后科研流动站，是我国首批设立渔业专业硕士的培养单位之一。</w:t>
      </w:r>
    </w:p>
    <w:p>
      <w:pPr>
        <w:spacing w:before="0" w:after="156" w:line="30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我院自</w:t>
      </w:r>
      <w:r>
        <w:rPr>
          <w:rFonts w:ascii="Times New Roman" w:hAnsi="Times New Roman" w:eastAsia="Times New Roman" w:cs="Times New Roman"/>
          <w:color w:val="auto"/>
          <w:spacing w:val="0"/>
          <w:position w:val="0"/>
          <w:sz w:val="24"/>
          <w:shd w:val="clear" w:fill="auto"/>
        </w:rPr>
        <w:t>1981</w:t>
      </w:r>
      <w:r>
        <w:rPr>
          <w:rFonts w:ascii="宋体" w:hAnsi="宋体" w:eastAsia="宋体" w:cs="宋体"/>
          <w:color w:val="auto"/>
          <w:spacing w:val="0"/>
          <w:position w:val="0"/>
          <w:sz w:val="24"/>
          <w:shd w:val="clear" w:fill="auto"/>
        </w:rPr>
        <w:t>年起就连续承担国家援外技术和官员培训项目，至今已为</w:t>
      </w:r>
      <w:r>
        <w:rPr>
          <w:rFonts w:ascii="Times New Roman" w:hAnsi="Times New Roman" w:eastAsia="Times New Roman" w:cs="Times New Roman"/>
          <w:color w:val="auto"/>
          <w:spacing w:val="0"/>
          <w:position w:val="0"/>
          <w:sz w:val="24"/>
          <w:shd w:val="clear" w:fill="auto"/>
        </w:rPr>
        <w:t>113</w:t>
      </w:r>
      <w:r>
        <w:rPr>
          <w:rFonts w:ascii="宋体" w:hAnsi="宋体" w:eastAsia="宋体" w:cs="宋体"/>
          <w:color w:val="auto"/>
          <w:spacing w:val="0"/>
          <w:position w:val="0"/>
          <w:sz w:val="24"/>
          <w:shd w:val="clear" w:fill="auto"/>
        </w:rPr>
        <w:t>个国家和地区培训了</w:t>
      </w:r>
      <w:r>
        <w:rPr>
          <w:rFonts w:ascii="Times New Roman" w:hAnsi="Times New Roman" w:eastAsia="Times New Roman" w:cs="Times New Roman"/>
          <w:color w:val="auto"/>
          <w:spacing w:val="0"/>
          <w:position w:val="0"/>
          <w:sz w:val="24"/>
          <w:shd w:val="clear" w:fill="auto"/>
        </w:rPr>
        <w:t>2180</w:t>
      </w:r>
      <w:r>
        <w:rPr>
          <w:rFonts w:ascii="宋体" w:hAnsi="宋体" w:eastAsia="宋体" w:cs="宋体"/>
          <w:color w:val="auto"/>
          <w:spacing w:val="0"/>
          <w:position w:val="0"/>
          <w:sz w:val="24"/>
          <w:shd w:val="clear" w:fill="auto"/>
        </w:rPr>
        <w:t>多名高级水产技术和管理人才。</w:t>
      </w:r>
      <w:r>
        <w:rPr>
          <w:rFonts w:ascii="Times New Roman" w:hAnsi="Times New Roman" w:eastAsia="Times New Roman" w:cs="Times New Roman"/>
          <w:color w:val="auto"/>
          <w:spacing w:val="0"/>
          <w:position w:val="0"/>
          <w:sz w:val="24"/>
          <w:shd w:val="clear" w:fill="auto"/>
        </w:rPr>
        <w:t>2014</w:t>
      </w:r>
      <w:r>
        <w:rPr>
          <w:rFonts w:ascii="宋体" w:hAnsi="宋体" w:eastAsia="宋体" w:cs="宋体"/>
          <w:color w:val="auto"/>
          <w:spacing w:val="0"/>
          <w:position w:val="0"/>
          <w:sz w:val="24"/>
          <w:shd w:val="clear" w:fill="auto"/>
        </w:rPr>
        <w:t>年，我院成功授牌“</w:t>
      </w:r>
      <w:r>
        <w:rPr>
          <w:rFonts w:ascii="Times New Roman" w:hAnsi="Times New Roman" w:eastAsia="Times New Roman" w:cs="Times New Roman"/>
          <w:color w:val="auto"/>
          <w:spacing w:val="0"/>
          <w:position w:val="0"/>
          <w:sz w:val="24"/>
          <w:shd w:val="clear" w:fill="auto"/>
        </w:rPr>
        <w:t>FAO</w:t>
      </w:r>
      <w:r>
        <w:rPr>
          <w:rFonts w:ascii="宋体" w:hAnsi="宋体" w:eastAsia="宋体" w:cs="宋体"/>
          <w:color w:val="auto"/>
          <w:spacing w:val="0"/>
          <w:position w:val="0"/>
          <w:sz w:val="24"/>
          <w:shd w:val="clear" w:fill="auto"/>
        </w:rPr>
        <w:t>水产养殖和内陆渔业研究培训参考中心”。在长期国际培训教育项目中，我院锻炼了一支学历层次高、英语能力强、管理经验丰富的团队。在研究生项目实施中，以导师负责制为基础，坚持团队式指导，配置专业管理团队，并严格遵循</w:t>
      </w:r>
      <w:r>
        <w:rPr>
          <w:rFonts w:ascii="Times New Roman" w:hAnsi="Times New Roman" w:eastAsia="Times New Roman" w:cs="Times New Roman"/>
          <w:color w:val="auto"/>
          <w:spacing w:val="0"/>
          <w:position w:val="0"/>
          <w:sz w:val="24"/>
          <w:shd w:val="clear" w:fill="auto"/>
        </w:rPr>
        <w:t>ISO9001</w:t>
      </w:r>
      <w:r>
        <w:rPr>
          <w:rFonts w:ascii="宋体" w:hAnsi="宋体" w:eastAsia="宋体" w:cs="宋体"/>
          <w:color w:val="auto"/>
          <w:spacing w:val="0"/>
          <w:position w:val="0"/>
          <w:sz w:val="24"/>
          <w:shd w:val="clear" w:fill="auto"/>
        </w:rPr>
        <w:t>质量标准进行项目管理，从课程设置到教学评价，既体现中国特色，又吸收世界名校同类专业之长，保证国际质量水准和培养效果。</w:t>
      </w:r>
    </w:p>
    <w:p>
      <w:pPr>
        <w:numPr>
          <w:ilvl w:val="0"/>
          <w:numId w:val="2"/>
        </w:numPr>
        <w:spacing w:before="0" w:after="156" w:line="300" w:lineRule="auto"/>
        <w:ind w:left="360" w:right="0" w:hanging="360"/>
        <w:jc w:val="both"/>
        <w:rPr>
          <w:rFonts w:ascii="Times New Roman" w:hAnsi="Times New Roman" w:eastAsia="Times New Roman" w:cs="Times New Roman"/>
          <w:b/>
          <w:color w:val="auto"/>
          <w:spacing w:val="0"/>
          <w:position w:val="0"/>
          <w:sz w:val="28"/>
          <w:shd w:val="clear" w:fill="auto"/>
        </w:rPr>
      </w:pPr>
      <w:r>
        <w:rPr>
          <w:rFonts w:ascii="宋体" w:hAnsi="宋体" w:eastAsia="宋体" w:cs="宋体"/>
          <w:b/>
          <w:color w:val="auto"/>
          <w:spacing w:val="0"/>
          <w:position w:val="0"/>
          <w:sz w:val="28"/>
          <w:shd w:val="clear" w:fill="auto"/>
        </w:rPr>
        <w:t>培养目标</w:t>
      </w:r>
    </w:p>
    <w:p>
      <w:pPr>
        <w:numPr>
          <w:ilvl w:val="0"/>
          <w:numId w:val="2"/>
        </w:numPr>
        <w:spacing w:before="0" w:after="0" w:line="300" w:lineRule="auto"/>
        <w:ind w:left="840" w:right="0" w:hanging="4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掌握渔业领域相关专业较坚实的基础理论和专业知识，熟知当前世界渔业科技发展，具备较宽广的知识结构；</w:t>
      </w:r>
    </w:p>
    <w:p>
      <w:pPr>
        <w:numPr>
          <w:ilvl w:val="0"/>
          <w:numId w:val="2"/>
        </w:numPr>
        <w:spacing w:before="0" w:after="0" w:line="300" w:lineRule="auto"/>
        <w:ind w:left="840" w:right="0" w:hanging="4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具有创新意识和实践动手能力，能够独立从事较高层次的渔业技术和农村发展工作；</w:t>
      </w:r>
    </w:p>
    <w:p>
      <w:pPr>
        <w:numPr>
          <w:ilvl w:val="0"/>
          <w:numId w:val="2"/>
        </w:numPr>
        <w:spacing w:before="0" w:after="0" w:line="300" w:lineRule="auto"/>
        <w:ind w:left="840" w:right="0" w:hanging="4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具有较强的科研创新思维，能够独立开展渔业基础科研工作。</w:t>
      </w:r>
    </w:p>
    <w:p>
      <w:pPr>
        <w:numPr>
          <w:ilvl w:val="0"/>
          <w:numId w:val="2"/>
        </w:numPr>
        <w:spacing w:before="0" w:after="0" w:line="300" w:lineRule="auto"/>
        <w:ind w:left="840" w:right="0" w:hanging="4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学风严谨，品德良好，能够致力于通过加强与中国的科技合作来促进双方渔业及农业产业的发展；</w:t>
      </w:r>
    </w:p>
    <w:p>
      <w:pPr>
        <w:numPr>
          <w:ilvl w:val="0"/>
          <w:numId w:val="2"/>
        </w:numPr>
        <w:spacing w:before="0" w:after="156" w:line="300" w:lineRule="auto"/>
        <w:ind w:left="360" w:right="0" w:hanging="360"/>
        <w:jc w:val="both"/>
        <w:rPr>
          <w:rFonts w:ascii="Times New Roman" w:hAnsi="Times New Roman" w:eastAsia="Times New Roman" w:cs="Times New Roman"/>
          <w:color w:val="auto"/>
          <w:spacing w:val="0"/>
          <w:position w:val="0"/>
          <w:sz w:val="24"/>
          <w:shd w:val="clear" w:fill="auto"/>
        </w:rPr>
      </w:pPr>
      <w:r>
        <w:rPr>
          <w:rFonts w:ascii="宋体" w:hAnsi="宋体" w:eastAsia="宋体" w:cs="宋体"/>
          <w:b/>
          <w:color w:val="auto"/>
          <w:spacing w:val="0"/>
          <w:position w:val="0"/>
          <w:sz w:val="24"/>
          <w:shd w:val="clear" w:fill="auto"/>
        </w:rPr>
        <w:t>培养对象及基本要求</w:t>
      </w:r>
    </w:p>
    <w:p>
      <w:pPr>
        <w:spacing w:before="0" w:after="0" w:line="30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招生对象为20位发展中国家渔业领域的大学毕业生、学者、技术人员、管理人员或官员；原则上应满足以下条件：</w:t>
      </w:r>
    </w:p>
    <w:p>
      <w:pPr>
        <w:numPr>
          <w:ilvl w:val="0"/>
          <w:numId w:val="3"/>
        </w:numPr>
        <w:spacing w:before="0" w:after="0" w:line="300" w:lineRule="auto"/>
        <w:ind w:left="840" w:right="0" w:hanging="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身体健康状况良好；</w:t>
      </w:r>
    </w:p>
    <w:p>
      <w:pPr>
        <w:numPr>
          <w:ilvl w:val="0"/>
          <w:numId w:val="3"/>
        </w:numPr>
        <w:spacing w:before="0" w:after="0" w:line="300" w:lineRule="auto"/>
        <w:ind w:left="840" w:right="0" w:hanging="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具有生物、环境相关专业学士学位及以上或同等学历；</w:t>
      </w:r>
    </w:p>
    <w:p>
      <w:pPr>
        <w:numPr>
          <w:ilvl w:val="0"/>
          <w:numId w:val="3"/>
        </w:numPr>
        <w:spacing w:before="0" w:after="0" w:line="300" w:lineRule="auto"/>
        <w:ind w:left="840" w:right="0" w:hanging="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具备较强的英语听说读写能力，雅思6.0以上或托福70分以上；</w:t>
      </w:r>
    </w:p>
    <w:p>
      <w:pPr>
        <w:numPr>
          <w:ilvl w:val="0"/>
          <w:numId w:val="3"/>
        </w:numPr>
        <w:spacing w:before="0" w:after="156" w:line="300" w:lineRule="auto"/>
        <w:ind w:left="840" w:right="0" w:hanging="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年龄原则上应小于40周岁。</w:t>
      </w:r>
    </w:p>
    <w:p>
      <w:pPr>
        <w:numPr>
          <w:ilvl w:val="0"/>
          <w:numId w:val="3"/>
        </w:numPr>
        <w:spacing w:before="0" w:after="156" w:line="300" w:lineRule="auto"/>
        <w:ind w:left="360" w:right="0" w:hanging="36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学习方式、年限及学分要求</w:t>
      </w:r>
    </w:p>
    <w:p>
      <w:pPr>
        <w:spacing w:before="0" w:after="156" w:line="300" w:lineRule="auto"/>
        <w:ind w:left="48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采用脱产培养方式，全日制学习，年限为2年。</w:t>
      </w:r>
    </w:p>
    <w:p>
      <w:pPr>
        <w:spacing w:before="0" w:after="156" w:line="300" w:lineRule="auto"/>
        <w:ind w:left="48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学习时间：2016年9月12日—2018年9月11日（具体时间以录取通知书为准）</w:t>
      </w:r>
    </w:p>
    <w:p>
      <w:pPr>
        <w:spacing w:before="0" w:after="156" w:line="300" w:lineRule="auto"/>
        <w:ind w:left="480" w:right="0" w:firstLine="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学分要求：渔业专业学位硕士生应修满至少30个学分。</w:t>
      </w:r>
    </w:p>
    <w:p>
      <w:pPr>
        <w:numPr>
          <w:ilvl w:val="0"/>
          <w:numId w:val="4"/>
        </w:numPr>
        <w:spacing w:before="0" w:after="156" w:line="300" w:lineRule="auto"/>
        <w:ind w:left="360" w:right="0" w:hanging="36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课程设置</w:t>
      </w:r>
    </w:p>
    <w:p>
      <w:pPr>
        <w:spacing w:before="0" w:after="156" w:line="30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项目课程参照南京农业大学全日制渔业专业学位硕士研究生培养方案进行设置。</w:t>
      </w:r>
    </w:p>
    <w:tbl>
      <w:tblPr>
        <w:tblStyle w:val="3"/>
        <w:tblW w:w="7888" w:type="dxa"/>
        <w:jc w:val="center"/>
        <w:tblInd w:w="0" w:type="dxa"/>
        <w:tblLayout w:type="fixed"/>
        <w:tblCellMar>
          <w:top w:w="0" w:type="dxa"/>
          <w:left w:w="108" w:type="dxa"/>
          <w:bottom w:w="0" w:type="dxa"/>
          <w:right w:w="108" w:type="dxa"/>
        </w:tblCellMar>
      </w:tblPr>
      <w:tblGrid>
        <w:gridCol w:w="1363"/>
        <w:gridCol w:w="3542"/>
        <w:gridCol w:w="1290"/>
        <w:gridCol w:w="1693"/>
      </w:tblGrid>
      <w:tr>
        <w:tblPrEx>
          <w:tblLayout w:type="fixed"/>
          <w:tblCellMar>
            <w:top w:w="0" w:type="dxa"/>
            <w:left w:w="108" w:type="dxa"/>
            <w:bottom w:w="0" w:type="dxa"/>
            <w:right w:w="108" w:type="dxa"/>
          </w:tblCellMar>
        </w:tblPrEx>
        <w:trPr>
          <w:trHeight w:val="0" w:hRule="atLeast"/>
          <w:jc w:val="center"/>
        </w:trPr>
        <w:tc>
          <w:tcPr>
            <w:tcW w:w="1363"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b/>
                <w:color w:val="auto"/>
                <w:spacing w:val="0"/>
                <w:position w:val="0"/>
                <w:sz w:val="22"/>
                <w:shd w:val="clear" w:fill="auto"/>
              </w:rPr>
              <w:t>课程性质</w:t>
            </w:r>
          </w:p>
        </w:tc>
        <w:tc>
          <w:tcPr>
            <w:tcW w:w="3542"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b/>
                <w:color w:val="auto"/>
                <w:spacing w:val="0"/>
                <w:position w:val="0"/>
                <w:sz w:val="22"/>
                <w:shd w:val="clear" w:fill="auto"/>
              </w:rPr>
              <w:t>课程</w:t>
            </w:r>
          </w:p>
        </w:tc>
        <w:tc>
          <w:tcPr>
            <w:tcW w:w="1290"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b/>
                <w:color w:val="auto"/>
                <w:spacing w:val="0"/>
                <w:position w:val="0"/>
                <w:sz w:val="22"/>
                <w:shd w:val="clear" w:fill="auto"/>
              </w:rPr>
              <w:t>学分</w:t>
            </w:r>
          </w:p>
        </w:tc>
        <w:tc>
          <w:tcPr>
            <w:tcW w:w="1693"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b/>
                <w:color w:val="auto"/>
                <w:spacing w:val="0"/>
                <w:position w:val="0"/>
                <w:sz w:val="22"/>
                <w:shd w:val="clear" w:fill="auto"/>
              </w:rPr>
              <w:t>总学时</w:t>
            </w:r>
          </w:p>
        </w:tc>
      </w:tr>
      <w:tr>
        <w:tblPrEx>
          <w:tblLayout w:type="fixed"/>
          <w:tblCellMar>
            <w:top w:w="0" w:type="dxa"/>
            <w:left w:w="108" w:type="dxa"/>
            <w:bottom w:w="0" w:type="dxa"/>
            <w:right w:w="108" w:type="dxa"/>
          </w:tblCellMar>
        </w:tblPrEx>
        <w:trPr>
          <w:trHeight w:val="0" w:hRule="atLeast"/>
          <w:jc w:val="center"/>
        </w:trPr>
        <w:tc>
          <w:tcPr>
            <w:tcW w:w="1363" w:type="dxa"/>
            <w:vMerge w:val="restart"/>
            <w:tcBorders>
              <w:top w:val="single" w:color="000000" w:sz="6"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必修环节</w:t>
            </w:r>
          </w:p>
        </w:tc>
        <w:tc>
          <w:tcPr>
            <w:tcW w:w="3542"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实践训练</w:t>
            </w:r>
          </w:p>
        </w:tc>
        <w:tc>
          <w:tcPr>
            <w:tcW w:w="1290"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3</w:t>
            </w:r>
          </w:p>
        </w:tc>
        <w:tc>
          <w:tcPr>
            <w:tcW w:w="1693"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Layout w:type="fixed"/>
          <w:tblCellMar>
            <w:top w:w="0" w:type="dxa"/>
            <w:left w:w="108" w:type="dxa"/>
            <w:bottom w:w="0" w:type="dxa"/>
            <w:right w:w="108" w:type="dxa"/>
          </w:tblCellMar>
        </w:tblPrEx>
        <w:trPr>
          <w:trHeight w:val="0" w:hRule="atLeast"/>
          <w:jc w:val="center"/>
        </w:trPr>
        <w:tc>
          <w:tcPr>
            <w:tcW w:w="1363" w:type="dxa"/>
            <w:vMerge w:val="continue"/>
            <w:tcBorders>
              <w:top w:val="single" w:color="000000" w:sz="8"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200" w:line="276" w:lineRule="auto"/>
              <w:ind w:left="0" w:right="0" w:firstLine="0"/>
              <w:jc w:val="left"/>
              <w:rPr>
                <w:rFonts w:ascii="宋体" w:hAnsi="宋体" w:eastAsia="宋体" w:cs="宋体"/>
                <w:color w:val="auto"/>
                <w:spacing w:val="0"/>
                <w:position w:val="0"/>
                <w:sz w:val="22"/>
                <w:shd w:val="clear" w:fill="auto"/>
              </w:rPr>
            </w:pPr>
          </w:p>
        </w:tc>
        <w:tc>
          <w:tcPr>
            <w:tcW w:w="3542"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学位论文</w:t>
            </w:r>
          </w:p>
        </w:tc>
        <w:tc>
          <w:tcPr>
            <w:tcW w:w="1290"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3</w:t>
            </w:r>
          </w:p>
        </w:tc>
        <w:tc>
          <w:tcPr>
            <w:tcW w:w="1693"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Layout w:type="fixed"/>
          <w:tblCellMar>
            <w:top w:w="0" w:type="dxa"/>
            <w:left w:w="108" w:type="dxa"/>
            <w:bottom w:w="0" w:type="dxa"/>
            <w:right w:w="108" w:type="dxa"/>
          </w:tblCellMar>
        </w:tblPrEx>
        <w:trPr>
          <w:trHeight w:val="0" w:hRule="atLeast"/>
          <w:jc w:val="center"/>
        </w:trPr>
        <w:tc>
          <w:tcPr>
            <w:tcW w:w="1363" w:type="dxa"/>
            <w:vMerge w:val="restart"/>
            <w:tcBorders>
              <w:top w:val="single" w:color="000000" w:sz="6"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必修课</w:t>
            </w:r>
          </w:p>
        </w:tc>
        <w:tc>
          <w:tcPr>
            <w:tcW w:w="3542"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农业传播技术与应用</w:t>
            </w:r>
          </w:p>
        </w:tc>
        <w:tc>
          <w:tcPr>
            <w:tcW w:w="1290"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2</w:t>
            </w:r>
          </w:p>
        </w:tc>
        <w:tc>
          <w:tcPr>
            <w:tcW w:w="1693"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32</w:t>
            </w:r>
          </w:p>
        </w:tc>
      </w:tr>
      <w:tr>
        <w:tblPrEx>
          <w:tblLayout w:type="fixed"/>
          <w:tblCellMar>
            <w:top w:w="0" w:type="dxa"/>
            <w:left w:w="108" w:type="dxa"/>
            <w:bottom w:w="0" w:type="dxa"/>
            <w:right w:w="108" w:type="dxa"/>
          </w:tblCellMar>
        </w:tblPrEx>
        <w:trPr>
          <w:trHeight w:val="0" w:hRule="atLeast"/>
          <w:jc w:val="center"/>
        </w:trPr>
        <w:tc>
          <w:tcPr>
            <w:tcW w:w="1363" w:type="dxa"/>
            <w:vMerge w:val="continue"/>
            <w:tcBorders>
              <w:top w:val="single" w:color="000000" w:sz="8"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200" w:line="276" w:lineRule="auto"/>
              <w:ind w:left="0" w:right="0" w:firstLine="0"/>
              <w:jc w:val="left"/>
              <w:rPr>
                <w:rFonts w:ascii="宋体" w:hAnsi="宋体" w:eastAsia="宋体" w:cs="宋体"/>
                <w:color w:val="auto"/>
                <w:spacing w:val="0"/>
                <w:position w:val="0"/>
                <w:sz w:val="22"/>
                <w:shd w:val="clear" w:fill="auto"/>
              </w:rPr>
            </w:pPr>
          </w:p>
        </w:tc>
        <w:tc>
          <w:tcPr>
            <w:tcW w:w="3542"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渔业推广理论与实践</w:t>
            </w:r>
          </w:p>
        </w:tc>
        <w:tc>
          <w:tcPr>
            <w:tcW w:w="1290"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2</w:t>
            </w:r>
          </w:p>
        </w:tc>
        <w:tc>
          <w:tcPr>
            <w:tcW w:w="1693"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32</w:t>
            </w:r>
          </w:p>
        </w:tc>
      </w:tr>
      <w:tr>
        <w:tblPrEx>
          <w:tblLayout w:type="fixed"/>
          <w:tblCellMar>
            <w:top w:w="0" w:type="dxa"/>
            <w:left w:w="108" w:type="dxa"/>
            <w:bottom w:w="0" w:type="dxa"/>
            <w:right w:w="108" w:type="dxa"/>
          </w:tblCellMar>
        </w:tblPrEx>
        <w:trPr>
          <w:trHeight w:val="0" w:hRule="atLeast"/>
          <w:jc w:val="center"/>
        </w:trPr>
        <w:tc>
          <w:tcPr>
            <w:tcW w:w="1363" w:type="dxa"/>
            <w:vMerge w:val="continue"/>
            <w:tcBorders>
              <w:top w:val="single" w:color="000000" w:sz="8"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200" w:line="276" w:lineRule="auto"/>
              <w:ind w:left="0" w:right="0" w:firstLine="0"/>
              <w:jc w:val="left"/>
              <w:rPr>
                <w:rFonts w:ascii="宋体" w:hAnsi="宋体" w:eastAsia="宋体" w:cs="宋体"/>
                <w:color w:val="auto"/>
                <w:spacing w:val="0"/>
                <w:position w:val="0"/>
                <w:sz w:val="22"/>
                <w:shd w:val="clear" w:fill="auto"/>
              </w:rPr>
            </w:pPr>
          </w:p>
        </w:tc>
        <w:tc>
          <w:tcPr>
            <w:tcW w:w="3542"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渔业科技与政策</w:t>
            </w:r>
          </w:p>
        </w:tc>
        <w:tc>
          <w:tcPr>
            <w:tcW w:w="1290"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2</w:t>
            </w:r>
          </w:p>
        </w:tc>
        <w:tc>
          <w:tcPr>
            <w:tcW w:w="1693"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32</w:t>
            </w:r>
          </w:p>
        </w:tc>
      </w:tr>
      <w:tr>
        <w:tblPrEx>
          <w:tblLayout w:type="fixed"/>
          <w:tblCellMar>
            <w:top w:w="0" w:type="dxa"/>
            <w:left w:w="108" w:type="dxa"/>
            <w:bottom w:w="0" w:type="dxa"/>
            <w:right w:w="108" w:type="dxa"/>
          </w:tblCellMar>
        </w:tblPrEx>
        <w:trPr>
          <w:trHeight w:val="0" w:hRule="atLeast"/>
          <w:jc w:val="center"/>
        </w:trPr>
        <w:tc>
          <w:tcPr>
            <w:tcW w:w="1363" w:type="dxa"/>
            <w:vMerge w:val="continue"/>
            <w:tcBorders>
              <w:top w:val="single" w:color="000000" w:sz="8"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200" w:line="276" w:lineRule="auto"/>
              <w:ind w:left="0" w:right="0" w:firstLine="0"/>
              <w:jc w:val="left"/>
              <w:rPr>
                <w:rFonts w:ascii="宋体" w:hAnsi="宋体" w:eastAsia="宋体" w:cs="宋体"/>
                <w:color w:val="auto"/>
                <w:spacing w:val="0"/>
                <w:position w:val="0"/>
                <w:sz w:val="22"/>
                <w:shd w:val="clear" w:fill="auto"/>
              </w:rPr>
            </w:pPr>
          </w:p>
        </w:tc>
        <w:tc>
          <w:tcPr>
            <w:tcW w:w="3542"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水产动物育种技术</w:t>
            </w:r>
          </w:p>
        </w:tc>
        <w:tc>
          <w:tcPr>
            <w:tcW w:w="1290"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2</w:t>
            </w:r>
          </w:p>
        </w:tc>
        <w:tc>
          <w:tcPr>
            <w:tcW w:w="1693"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32</w:t>
            </w:r>
          </w:p>
        </w:tc>
      </w:tr>
      <w:tr>
        <w:tblPrEx>
          <w:tblLayout w:type="fixed"/>
          <w:tblCellMar>
            <w:top w:w="0" w:type="dxa"/>
            <w:left w:w="108" w:type="dxa"/>
            <w:bottom w:w="0" w:type="dxa"/>
            <w:right w:w="108" w:type="dxa"/>
          </w:tblCellMar>
        </w:tblPrEx>
        <w:trPr>
          <w:trHeight w:val="0" w:hRule="atLeast"/>
          <w:jc w:val="center"/>
        </w:trPr>
        <w:tc>
          <w:tcPr>
            <w:tcW w:w="1363" w:type="dxa"/>
            <w:vMerge w:val="continue"/>
            <w:tcBorders>
              <w:top w:val="single" w:color="000000" w:sz="8"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200" w:line="276" w:lineRule="auto"/>
              <w:ind w:left="0" w:right="0" w:firstLine="0"/>
              <w:jc w:val="left"/>
              <w:rPr>
                <w:rFonts w:ascii="宋体" w:hAnsi="宋体" w:eastAsia="宋体" w:cs="宋体"/>
                <w:color w:val="auto"/>
                <w:spacing w:val="0"/>
                <w:position w:val="0"/>
                <w:sz w:val="22"/>
                <w:shd w:val="clear" w:fill="auto"/>
              </w:rPr>
            </w:pPr>
          </w:p>
        </w:tc>
        <w:tc>
          <w:tcPr>
            <w:tcW w:w="3542"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水产动物增养殖技术</w:t>
            </w:r>
          </w:p>
        </w:tc>
        <w:tc>
          <w:tcPr>
            <w:tcW w:w="1290"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2</w:t>
            </w:r>
          </w:p>
        </w:tc>
        <w:tc>
          <w:tcPr>
            <w:tcW w:w="1693"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32</w:t>
            </w:r>
          </w:p>
        </w:tc>
      </w:tr>
      <w:tr>
        <w:tblPrEx>
          <w:tblLayout w:type="fixed"/>
          <w:tblCellMar>
            <w:top w:w="0" w:type="dxa"/>
            <w:left w:w="108" w:type="dxa"/>
            <w:bottom w:w="0" w:type="dxa"/>
            <w:right w:w="108" w:type="dxa"/>
          </w:tblCellMar>
        </w:tblPrEx>
        <w:trPr>
          <w:trHeight w:val="0" w:hRule="atLeast"/>
          <w:jc w:val="center"/>
        </w:trPr>
        <w:tc>
          <w:tcPr>
            <w:tcW w:w="1363" w:type="dxa"/>
            <w:vMerge w:val="continue"/>
            <w:tcBorders>
              <w:top w:val="single" w:color="000000" w:sz="8"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200" w:line="276" w:lineRule="auto"/>
              <w:ind w:left="0" w:right="0" w:firstLine="0"/>
              <w:jc w:val="left"/>
              <w:rPr>
                <w:rFonts w:ascii="宋体" w:hAnsi="宋体" w:eastAsia="宋体" w:cs="宋体"/>
                <w:color w:val="auto"/>
                <w:spacing w:val="0"/>
                <w:position w:val="0"/>
                <w:sz w:val="22"/>
                <w:shd w:val="clear" w:fill="auto"/>
              </w:rPr>
            </w:pPr>
          </w:p>
        </w:tc>
        <w:tc>
          <w:tcPr>
            <w:tcW w:w="3542"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水产动物营养与饲料</w:t>
            </w:r>
          </w:p>
        </w:tc>
        <w:tc>
          <w:tcPr>
            <w:tcW w:w="1290"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2</w:t>
            </w:r>
          </w:p>
        </w:tc>
        <w:tc>
          <w:tcPr>
            <w:tcW w:w="1693"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32</w:t>
            </w:r>
          </w:p>
        </w:tc>
      </w:tr>
      <w:tr>
        <w:tblPrEx>
          <w:tblLayout w:type="fixed"/>
          <w:tblCellMar>
            <w:top w:w="0" w:type="dxa"/>
            <w:left w:w="108" w:type="dxa"/>
            <w:bottom w:w="0" w:type="dxa"/>
            <w:right w:w="108" w:type="dxa"/>
          </w:tblCellMar>
        </w:tblPrEx>
        <w:trPr>
          <w:trHeight w:val="0" w:hRule="atLeast"/>
          <w:jc w:val="center"/>
        </w:trPr>
        <w:tc>
          <w:tcPr>
            <w:tcW w:w="1363" w:type="dxa"/>
            <w:vMerge w:val="continue"/>
            <w:tcBorders>
              <w:top w:val="single" w:color="000000" w:sz="8"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200" w:line="276" w:lineRule="auto"/>
              <w:ind w:left="0" w:right="0" w:firstLine="0"/>
              <w:jc w:val="left"/>
              <w:rPr>
                <w:rFonts w:ascii="宋体" w:hAnsi="宋体" w:eastAsia="宋体" w:cs="宋体"/>
                <w:color w:val="auto"/>
                <w:spacing w:val="0"/>
                <w:position w:val="0"/>
                <w:sz w:val="22"/>
                <w:shd w:val="clear" w:fill="auto"/>
              </w:rPr>
            </w:pPr>
          </w:p>
        </w:tc>
        <w:tc>
          <w:tcPr>
            <w:tcW w:w="3542"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b/>
                <w:color w:val="auto"/>
                <w:spacing w:val="0"/>
                <w:position w:val="0"/>
                <w:sz w:val="22"/>
                <w:shd w:val="clear" w:fill="auto"/>
              </w:rPr>
              <w:t>汉语言文化</w:t>
            </w:r>
          </w:p>
        </w:tc>
        <w:tc>
          <w:tcPr>
            <w:tcW w:w="1290"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3</w:t>
            </w:r>
          </w:p>
        </w:tc>
        <w:tc>
          <w:tcPr>
            <w:tcW w:w="1693"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48</w:t>
            </w:r>
          </w:p>
        </w:tc>
      </w:tr>
      <w:tr>
        <w:tblPrEx>
          <w:tblLayout w:type="fixed"/>
          <w:tblCellMar>
            <w:top w:w="0" w:type="dxa"/>
            <w:left w:w="108" w:type="dxa"/>
            <w:bottom w:w="0" w:type="dxa"/>
            <w:right w:w="108" w:type="dxa"/>
          </w:tblCellMar>
        </w:tblPrEx>
        <w:trPr>
          <w:trHeight w:val="0" w:hRule="atLeast"/>
          <w:jc w:val="center"/>
        </w:trPr>
        <w:tc>
          <w:tcPr>
            <w:tcW w:w="1363" w:type="dxa"/>
            <w:vMerge w:val="continue"/>
            <w:tcBorders>
              <w:top w:val="single" w:color="000000" w:sz="8"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200" w:line="276" w:lineRule="auto"/>
              <w:ind w:left="0" w:right="0" w:firstLine="0"/>
              <w:jc w:val="left"/>
              <w:rPr>
                <w:rFonts w:ascii="宋体" w:hAnsi="宋体" w:eastAsia="宋体" w:cs="宋体"/>
                <w:color w:val="auto"/>
                <w:spacing w:val="0"/>
                <w:position w:val="0"/>
                <w:sz w:val="22"/>
                <w:shd w:val="clear" w:fill="auto"/>
              </w:rPr>
            </w:pPr>
          </w:p>
        </w:tc>
        <w:tc>
          <w:tcPr>
            <w:tcW w:w="3542"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1"/>
                <w:shd w:val="clear" w:fill="auto"/>
              </w:rPr>
              <w:t>研究生班讨论</w:t>
            </w:r>
          </w:p>
        </w:tc>
        <w:tc>
          <w:tcPr>
            <w:tcW w:w="1290"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3</w:t>
            </w:r>
          </w:p>
        </w:tc>
        <w:tc>
          <w:tcPr>
            <w:tcW w:w="1693"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48</w:t>
            </w:r>
          </w:p>
        </w:tc>
      </w:tr>
      <w:tr>
        <w:tblPrEx>
          <w:tblLayout w:type="fixed"/>
          <w:tblCellMar>
            <w:top w:w="0" w:type="dxa"/>
            <w:left w:w="108" w:type="dxa"/>
            <w:bottom w:w="0" w:type="dxa"/>
            <w:right w:w="108" w:type="dxa"/>
          </w:tblCellMar>
        </w:tblPrEx>
        <w:trPr>
          <w:trHeight w:val="0" w:hRule="atLeast"/>
          <w:jc w:val="center"/>
        </w:trPr>
        <w:tc>
          <w:tcPr>
            <w:tcW w:w="1363" w:type="dxa"/>
            <w:vMerge w:val="restart"/>
            <w:tcBorders>
              <w:top w:val="single" w:color="000000" w:sz="6"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选修课</w:t>
            </w:r>
          </w:p>
        </w:tc>
        <w:tc>
          <w:tcPr>
            <w:tcW w:w="3542"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渔业经济与管理</w:t>
            </w:r>
          </w:p>
        </w:tc>
        <w:tc>
          <w:tcPr>
            <w:tcW w:w="1290"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2</w:t>
            </w:r>
          </w:p>
        </w:tc>
        <w:tc>
          <w:tcPr>
            <w:tcW w:w="1693"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32</w:t>
            </w:r>
          </w:p>
        </w:tc>
      </w:tr>
      <w:tr>
        <w:tblPrEx>
          <w:tblLayout w:type="fixed"/>
          <w:tblCellMar>
            <w:top w:w="0" w:type="dxa"/>
            <w:left w:w="108" w:type="dxa"/>
            <w:bottom w:w="0" w:type="dxa"/>
            <w:right w:w="108" w:type="dxa"/>
          </w:tblCellMar>
        </w:tblPrEx>
        <w:trPr>
          <w:trHeight w:val="0" w:hRule="atLeast"/>
          <w:jc w:val="center"/>
        </w:trPr>
        <w:tc>
          <w:tcPr>
            <w:tcW w:w="1363" w:type="dxa"/>
            <w:vMerge w:val="continue"/>
            <w:tcBorders>
              <w:top w:val="single" w:color="000000" w:sz="8"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200" w:line="276" w:lineRule="auto"/>
              <w:ind w:left="0" w:right="0" w:firstLine="0"/>
              <w:jc w:val="left"/>
              <w:rPr>
                <w:rFonts w:ascii="宋体" w:hAnsi="宋体" w:eastAsia="宋体" w:cs="宋体"/>
                <w:color w:val="auto"/>
                <w:spacing w:val="0"/>
                <w:position w:val="0"/>
                <w:sz w:val="22"/>
                <w:shd w:val="clear" w:fill="auto"/>
              </w:rPr>
            </w:pPr>
          </w:p>
        </w:tc>
        <w:tc>
          <w:tcPr>
            <w:tcW w:w="3542"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渔业资源管理与应用</w:t>
            </w:r>
          </w:p>
        </w:tc>
        <w:tc>
          <w:tcPr>
            <w:tcW w:w="1290"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2</w:t>
            </w:r>
          </w:p>
        </w:tc>
        <w:tc>
          <w:tcPr>
            <w:tcW w:w="1693"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32</w:t>
            </w:r>
          </w:p>
        </w:tc>
      </w:tr>
      <w:tr>
        <w:tblPrEx>
          <w:tblLayout w:type="fixed"/>
          <w:tblCellMar>
            <w:top w:w="0" w:type="dxa"/>
            <w:left w:w="108" w:type="dxa"/>
            <w:bottom w:w="0" w:type="dxa"/>
            <w:right w:w="108" w:type="dxa"/>
          </w:tblCellMar>
        </w:tblPrEx>
        <w:trPr>
          <w:trHeight w:val="0" w:hRule="atLeast"/>
          <w:jc w:val="center"/>
        </w:trPr>
        <w:tc>
          <w:tcPr>
            <w:tcW w:w="1363" w:type="dxa"/>
            <w:vMerge w:val="continue"/>
            <w:tcBorders>
              <w:top w:val="single" w:color="000000" w:sz="8"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200" w:line="276" w:lineRule="auto"/>
              <w:ind w:left="0" w:right="0" w:firstLine="0"/>
              <w:jc w:val="left"/>
              <w:rPr>
                <w:rFonts w:ascii="宋体" w:hAnsi="宋体" w:eastAsia="宋体" w:cs="宋体"/>
                <w:color w:val="auto"/>
                <w:spacing w:val="0"/>
                <w:position w:val="0"/>
                <w:sz w:val="22"/>
                <w:shd w:val="clear" w:fill="auto"/>
              </w:rPr>
            </w:pPr>
          </w:p>
        </w:tc>
        <w:tc>
          <w:tcPr>
            <w:tcW w:w="3542"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水产品安全与质量控制</w:t>
            </w:r>
          </w:p>
        </w:tc>
        <w:tc>
          <w:tcPr>
            <w:tcW w:w="1290"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2</w:t>
            </w:r>
          </w:p>
        </w:tc>
        <w:tc>
          <w:tcPr>
            <w:tcW w:w="1693"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32</w:t>
            </w:r>
          </w:p>
        </w:tc>
      </w:tr>
      <w:tr>
        <w:tblPrEx>
          <w:tblLayout w:type="fixed"/>
          <w:tblCellMar>
            <w:top w:w="0" w:type="dxa"/>
            <w:left w:w="108" w:type="dxa"/>
            <w:bottom w:w="0" w:type="dxa"/>
            <w:right w:w="108" w:type="dxa"/>
          </w:tblCellMar>
        </w:tblPrEx>
        <w:trPr>
          <w:trHeight w:val="0" w:hRule="atLeast"/>
          <w:jc w:val="center"/>
        </w:trPr>
        <w:tc>
          <w:tcPr>
            <w:tcW w:w="1363" w:type="dxa"/>
            <w:vMerge w:val="continue"/>
            <w:tcBorders>
              <w:top w:val="single" w:color="000000" w:sz="8"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200" w:line="276" w:lineRule="auto"/>
              <w:ind w:left="0" w:right="0" w:firstLine="0"/>
              <w:jc w:val="left"/>
              <w:rPr>
                <w:rFonts w:ascii="宋体" w:hAnsi="宋体" w:eastAsia="宋体" w:cs="宋体"/>
                <w:color w:val="auto"/>
                <w:spacing w:val="0"/>
                <w:position w:val="0"/>
                <w:sz w:val="22"/>
                <w:shd w:val="clear" w:fill="auto"/>
              </w:rPr>
            </w:pPr>
          </w:p>
        </w:tc>
        <w:tc>
          <w:tcPr>
            <w:tcW w:w="3542"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渔业法规与渔政管理</w:t>
            </w:r>
          </w:p>
        </w:tc>
        <w:tc>
          <w:tcPr>
            <w:tcW w:w="1290"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2</w:t>
            </w:r>
          </w:p>
        </w:tc>
        <w:tc>
          <w:tcPr>
            <w:tcW w:w="1693"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32</w:t>
            </w:r>
          </w:p>
        </w:tc>
      </w:tr>
      <w:tr>
        <w:tblPrEx>
          <w:tblLayout w:type="fixed"/>
          <w:tblCellMar>
            <w:top w:w="0" w:type="dxa"/>
            <w:left w:w="108" w:type="dxa"/>
            <w:bottom w:w="0" w:type="dxa"/>
            <w:right w:w="108" w:type="dxa"/>
          </w:tblCellMar>
        </w:tblPrEx>
        <w:trPr>
          <w:trHeight w:val="0" w:hRule="atLeast"/>
          <w:jc w:val="center"/>
        </w:trPr>
        <w:tc>
          <w:tcPr>
            <w:tcW w:w="1363" w:type="dxa"/>
            <w:vMerge w:val="continue"/>
            <w:tcBorders>
              <w:top w:val="single" w:color="000000" w:sz="8"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200" w:line="276" w:lineRule="auto"/>
              <w:ind w:left="0" w:right="0" w:firstLine="0"/>
              <w:jc w:val="left"/>
              <w:rPr>
                <w:rFonts w:ascii="宋体" w:hAnsi="宋体" w:eastAsia="宋体" w:cs="宋体"/>
                <w:color w:val="auto"/>
                <w:spacing w:val="0"/>
                <w:position w:val="0"/>
                <w:sz w:val="22"/>
                <w:shd w:val="clear" w:fill="auto"/>
              </w:rPr>
            </w:pPr>
          </w:p>
        </w:tc>
        <w:tc>
          <w:tcPr>
            <w:tcW w:w="3542"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z w:val="22"/>
                <w:shd w:val="clear" w:fill="auto"/>
              </w:rPr>
            </w:pPr>
            <w:r>
              <w:rPr>
                <w:rFonts w:ascii="宋体" w:hAnsi="宋体" w:eastAsia="宋体" w:cs="宋体"/>
                <w:color w:val="auto"/>
                <w:spacing w:val="0"/>
                <w:position w:val="0"/>
                <w:sz w:val="22"/>
                <w:shd w:val="clear" w:fill="auto"/>
              </w:rPr>
              <w:t>水产动物病害及防治</w:t>
            </w:r>
            <w:r>
              <w:rPr>
                <w:rFonts w:ascii="Times New Roman" w:hAnsi="Times New Roman" w:eastAsia="Times New Roman" w:cs="Times New Roman"/>
                <w:color w:val="auto"/>
                <w:spacing w:val="0"/>
                <w:position w:val="0"/>
                <w:sz w:val="22"/>
                <w:shd w:val="clear" w:fill="auto"/>
              </w:rPr>
              <w:t xml:space="preserve"> </w:t>
            </w:r>
          </w:p>
        </w:tc>
        <w:tc>
          <w:tcPr>
            <w:tcW w:w="1290"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2</w:t>
            </w:r>
          </w:p>
        </w:tc>
        <w:tc>
          <w:tcPr>
            <w:tcW w:w="1693"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32</w:t>
            </w:r>
          </w:p>
        </w:tc>
      </w:tr>
      <w:tr>
        <w:tblPrEx>
          <w:tblLayout w:type="fixed"/>
          <w:tblCellMar>
            <w:top w:w="0" w:type="dxa"/>
            <w:left w:w="108" w:type="dxa"/>
            <w:bottom w:w="0" w:type="dxa"/>
            <w:right w:w="108" w:type="dxa"/>
          </w:tblCellMar>
        </w:tblPrEx>
        <w:trPr>
          <w:trHeight w:val="0" w:hRule="atLeast"/>
          <w:jc w:val="center"/>
        </w:trPr>
        <w:tc>
          <w:tcPr>
            <w:tcW w:w="1363" w:type="dxa"/>
            <w:vMerge w:val="continue"/>
            <w:tcBorders>
              <w:top w:val="single" w:color="000000" w:sz="8"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200" w:line="276" w:lineRule="auto"/>
              <w:ind w:left="0" w:right="0" w:firstLine="0"/>
              <w:jc w:val="left"/>
              <w:rPr>
                <w:rFonts w:ascii="宋体" w:hAnsi="宋体" w:eastAsia="宋体" w:cs="宋体"/>
                <w:color w:val="auto"/>
                <w:spacing w:val="0"/>
                <w:position w:val="0"/>
                <w:sz w:val="22"/>
                <w:shd w:val="clear" w:fill="auto"/>
              </w:rPr>
            </w:pPr>
          </w:p>
        </w:tc>
        <w:tc>
          <w:tcPr>
            <w:tcW w:w="3542"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渔业环境保护</w:t>
            </w:r>
          </w:p>
        </w:tc>
        <w:tc>
          <w:tcPr>
            <w:tcW w:w="1290"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2</w:t>
            </w:r>
          </w:p>
        </w:tc>
        <w:tc>
          <w:tcPr>
            <w:tcW w:w="1693"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2"/>
                <w:shd w:val="clear" w:fill="auto"/>
              </w:rPr>
              <w:t>32</w:t>
            </w:r>
          </w:p>
        </w:tc>
      </w:tr>
    </w:tbl>
    <w:p>
      <w:pPr>
        <w:numPr>
          <w:ilvl w:val="0"/>
          <w:numId w:val="5"/>
        </w:numPr>
        <w:spacing w:before="156" w:after="156" w:line="300" w:lineRule="auto"/>
        <w:ind w:left="357" w:right="0" w:hanging="357"/>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授课与考核方式</w:t>
      </w:r>
    </w:p>
    <w:p>
      <w:pPr>
        <w:widowControl w:val="0"/>
        <w:spacing w:before="0" w:after="156" w:line="30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课程班将聘请渔业领域内理论基础扎实、英语交流能力强、教学实践经验丰富的知名专家、教授授课；结合渔业专题讨论聘请渔业行政管理、推广示范、研究创新、产业经营等相关人士做专题讲座和讨论。</w:t>
      </w:r>
    </w:p>
    <w:p>
      <w:pPr>
        <w:widowControl w:val="0"/>
        <w:spacing w:before="0" w:after="156" w:line="30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课程以英语为教学语言，重视理论与实践相结合，采用课堂讲授、小组研讨、实践学习、专题考察等方式进行。</w:t>
      </w:r>
    </w:p>
    <w:p>
      <w:pPr>
        <w:spacing w:before="0" w:after="156" w:line="30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考核方式：根据课程需要采取多种形式进行，主要包括课程论文、笔试等。</w:t>
      </w:r>
    </w:p>
    <w:p>
      <w:pPr>
        <w:numPr>
          <w:ilvl w:val="0"/>
          <w:numId w:val="6"/>
        </w:numPr>
        <w:spacing w:before="0" w:after="156" w:line="300" w:lineRule="auto"/>
        <w:ind w:left="360" w:right="0" w:hanging="36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学位论文及学位授予</w:t>
      </w:r>
    </w:p>
    <w:p>
      <w:pPr>
        <w:numPr>
          <w:ilvl w:val="0"/>
          <w:numId w:val="6"/>
        </w:numPr>
        <w:spacing w:before="0" w:after="0" w:line="300" w:lineRule="auto"/>
        <w:ind w:left="902" w:right="0" w:hanging="4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学生将按学习兴趣分配论文导师，由指导教师指导学位论文研究和写作；学位论文选题应紧密联系渔业专业实践；论文形式可以多样化，如调研报告、分析报告、渔业发展规划等；论文字数不少于1.5万字，采用英文写作。</w:t>
      </w:r>
    </w:p>
    <w:p>
      <w:pPr>
        <w:numPr>
          <w:ilvl w:val="0"/>
          <w:numId w:val="6"/>
        </w:numPr>
        <w:spacing w:before="0" w:after="0" w:line="300" w:lineRule="auto"/>
        <w:ind w:left="902" w:right="0" w:hanging="4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学位论文完成后，学生申请论文评阅和答辩，论文评阅人和答辩委员会成员应为国内外渔业专家（一般具有硕士研究生导师及以上资格）。论文答辩由学院统一组织。</w:t>
      </w:r>
    </w:p>
    <w:p>
      <w:pPr>
        <w:numPr>
          <w:ilvl w:val="0"/>
          <w:numId w:val="6"/>
        </w:numPr>
        <w:spacing w:before="0" w:after="156" w:line="300" w:lineRule="auto"/>
        <w:ind w:left="900" w:right="0" w:hanging="4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修满规定学分，实践环节合格，并通过论文答辩者，经南京农业大学学位评定委员会评议，授予农业硕士专业学位。</w:t>
      </w:r>
    </w:p>
    <w:p>
      <w:pPr>
        <w:spacing w:before="0" w:after="156" w:line="30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二、申请方式</w:t>
      </w:r>
    </w:p>
    <w:p>
      <w:pPr>
        <w:numPr>
          <w:ilvl w:val="0"/>
          <w:numId w:val="7"/>
        </w:numPr>
        <w:spacing w:before="0" w:after="156" w:line="300" w:lineRule="auto"/>
        <w:ind w:left="360" w:right="0" w:hanging="36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申请渠道</w:t>
      </w:r>
    </w:p>
    <w:p>
      <w:pPr>
        <w:spacing w:before="0" w:after="156" w:line="30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由申请人当前所在单位或组织向申请人本国境内的中国大使馆经商处推荐并得到批准后，提交以下申请材料至中国大使馆经商处，同时向南京农业大学无锡渔业学院提交电子版申请材料（报到时需提交纸质材料一份）。</w:t>
      </w:r>
    </w:p>
    <w:p>
      <w:pPr>
        <w:numPr>
          <w:ilvl w:val="0"/>
          <w:numId w:val="8"/>
        </w:numPr>
        <w:spacing w:before="0" w:after="156" w:line="300" w:lineRule="auto"/>
        <w:ind w:left="360" w:right="0" w:hanging="36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提交材料</w:t>
      </w:r>
    </w:p>
    <w:p>
      <w:pPr>
        <w:numPr>
          <w:ilvl w:val="0"/>
          <w:numId w:val="8"/>
        </w:numPr>
        <w:spacing w:before="0" w:after="0" w:line="300" w:lineRule="auto"/>
        <w:ind w:left="777" w:right="0" w:hanging="4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申请表（用中文或英文填写）</w:t>
      </w:r>
    </w:p>
    <w:p>
      <w:pPr>
        <w:numPr>
          <w:ilvl w:val="0"/>
          <w:numId w:val="8"/>
        </w:numPr>
        <w:spacing w:before="0" w:after="0" w:line="300" w:lineRule="auto"/>
        <w:ind w:left="777" w:right="0" w:hanging="4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外国人体格检查表</w:t>
      </w:r>
    </w:p>
    <w:p>
      <w:pPr>
        <w:numPr>
          <w:ilvl w:val="0"/>
          <w:numId w:val="8"/>
        </w:numPr>
        <w:spacing w:before="0" w:after="0" w:line="300" w:lineRule="auto"/>
        <w:ind w:left="777" w:right="0" w:hanging="4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最高学历证书及学位证书（原件或经公证的复印件）及最高学历成绩单（原件或经公证的复印件）</w:t>
      </w:r>
    </w:p>
    <w:p>
      <w:pPr>
        <w:numPr>
          <w:ilvl w:val="0"/>
          <w:numId w:val="8"/>
        </w:numPr>
        <w:spacing w:before="0" w:after="0" w:line="300" w:lineRule="auto"/>
        <w:ind w:left="777" w:right="0" w:hanging="4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论文摘要或已发表论文</w:t>
      </w:r>
    </w:p>
    <w:p>
      <w:pPr>
        <w:numPr>
          <w:ilvl w:val="0"/>
          <w:numId w:val="8"/>
        </w:numPr>
        <w:spacing w:before="0" w:after="0" w:line="300" w:lineRule="auto"/>
        <w:ind w:left="777" w:right="0" w:hanging="4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两封推荐信</w:t>
      </w:r>
    </w:p>
    <w:p>
      <w:pPr>
        <w:numPr>
          <w:ilvl w:val="0"/>
          <w:numId w:val="8"/>
        </w:numPr>
        <w:spacing w:before="0" w:after="0" w:line="300" w:lineRule="auto"/>
        <w:ind w:left="777" w:right="0" w:hanging="4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学习或研究计划（中文或英文，不少于500字）</w:t>
      </w:r>
    </w:p>
    <w:p>
      <w:pPr>
        <w:numPr>
          <w:ilvl w:val="0"/>
          <w:numId w:val="8"/>
        </w:numPr>
        <w:spacing w:before="0" w:after="0" w:line="300" w:lineRule="auto"/>
        <w:ind w:left="777" w:right="0" w:hanging="4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护照复印件</w:t>
      </w:r>
    </w:p>
    <w:p>
      <w:pPr>
        <w:numPr>
          <w:ilvl w:val="0"/>
          <w:numId w:val="8"/>
        </w:numPr>
        <w:spacing w:before="0" w:after="0" w:line="300" w:lineRule="auto"/>
        <w:ind w:left="777" w:right="0" w:hanging="4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英语水平证明材料（母语、官方语言和大学授课语言皆非英语的申请人需提供英语水平证明材料，如托福、雅思考试成绩等任意一项）</w:t>
      </w:r>
    </w:p>
    <w:p>
      <w:pPr>
        <w:spacing w:before="0" w:after="156" w:line="30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（注：无论录取与否，申请材料不予退还；被录取之后，申请者需要将所有申请材料的纸质版带来，在报到时上交。）</w:t>
      </w:r>
    </w:p>
    <w:p>
      <w:pPr>
        <w:numPr>
          <w:ilvl w:val="0"/>
          <w:numId w:val="9"/>
        </w:numPr>
        <w:spacing w:before="0" w:after="156" w:line="300" w:lineRule="auto"/>
        <w:ind w:left="360" w:right="0" w:hanging="36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受理申请材料截止时间</w:t>
      </w:r>
      <w:r>
        <w:rPr>
          <w:rFonts w:ascii="宋体" w:hAnsi="宋体" w:eastAsia="宋体" w:cs="宋体"/>
          <w:color w:val="auto"/>
          <w:spacing w:val="0"/>
          <w:position w:val="0"/>
          <w:sz w:val="24"/>
          <w:shd w:val="clear" w:fill="auto"/>
        </w:rPr>
        <w:t>：</w:t>
      </w:r>
    </w:p>
    <w:p>
      <w:pPr>
        <w:spacing w:before="0" w:after="156" w:line="300" w:lineRule="auto"/>
        <w:ind w:left="360" w:right="0" w:firstLine="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2016年</w:t>
      </w:r>
      <w:r>
        <w:rPr>
          <w:rFonts w:hint="eastAsia" w:ascii="宋体" w:hAnsi="宋体" w:eastAsia="宋体" w:cs="宋体"/>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月3</w:t>
      </w: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日截止。</w:t>
      </w:r>
    </w:p>
    <w:p>
      <w:pPr>
        <w:numPr>
          <w:ilvl w:val="0"/>
          <w:numId w:val="10"/>
        </w:numPr>
        <w:spacing w:before="0" w:after="156" w:line="300" w:lineRule="auto"/>
        <w:ind w:left="360" w:right="0" w:hanging="36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录取</w:t>
      </w:r>
    </w:p>
    <w:p>
      <w:pPr>
        <w:spacing w:before="0" w:after="156" w:line="30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根据南京农业大学外国留学硕士研究生的入学要求，对申请者进行资格审查，采取择优录取的原则。录取结果将于2016年7月15日左右将录取结果对外公布。</w:t>
      </w:r>
    </w:p>
    <w:p>
      <w:pPr>
        <w:numPr>
          <w:ilvl w:val="0"/>
          <w:numId w:val="11"/>
        </w:numPr>
        <w:spacing w:before="0" w:after="156" w:line="300" w:lineRule="auto"/>
        <w:ind w:left="360" w:right="0" w:hanging="36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联系方式</w:t>
      </w:r>
    </w:p>
    <w:p>
      <w:pPr>
        <w:spacing w:before="0" w:after="156" w:line="300" w:lineRule="auto"/>
        <w:ind w:left="36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单位：南京农业大学无锡渔业学院</w:t>
      </w:r>
    </w:p>
    <w:p>
      <w:pPr>
        <w:spacing w:before="0" w:after="156" w:line="300" w:lineRule="auto"/>
        <w:ind w:left="36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地址：江苏省无锡市滨湖区山水东路9号，邮编214081</w:t>
      </w:r>
    </w:p>
    <w:p>
      <w:pPr>
        <w:spacing w:before="0" w:after="156" w:line="300" w:lineRule="auto"/>
        <w:ind w:left="36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联系人：李非凡，张霖，袁新华</w:t>
      </w:r>
    </w:p>
    <w:p>
      <w:pPr>
        <w:spacing w:before="0" w:after="156" w:line="300" w:lineRule="auto"/>
        <w:ind w:left="36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电话/传真：+86-510-85555796</w:t>
      </w:r>
    </w:p>
    <w:p>
      <w:pPr>
        <w:spacing w:before="0" w:after="156" w:line="300" w:lineRule="auto"/>
        <w:ind w:left="36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w:t>
      </w:r>
      <w:r>
        <w:rPr>
          <w:rFonts w:ascii="宋体" w:hAnsi="宋体" w:eastAsia="宋体" w:cs="宋体"/>
          <w:color w:val="000000"/>
          <w:spacing w:val="0"/>
          <w:position w:val="0"/>
          <w:sz w:val="24"/>
          <w:shd w:val="clear" w:fill="auto"/>
        </w:rPr>
        <w:t>子邮箱：</w:t>
      </w:r>
      <w:r>
        <w:fldChar w:fldCharType="begin"/>
      </w:r>
      <w:r>
        <w:instrText xml:space="preserve"> HYPERLINK "mailto:liff@ffrc.cn" \h </w:instrText>
      </w:r>
      <w:r>
        <w:fldChar w:fldCharType="separate"/>
      </w:r>
      <w:r>
        <w:rPr>
          <w:rFonts w:ascii="宋体" w:hAnsi="宋体" w:eastAsia="宋体" w:cs="宋体"/>
          <w:color w:val="0000FF"/>
          <w:spacing w:val="0"/>
          <w:position w:val="0"/>
          <w:sz w:val="24"/>
          <w:u w:val="single"/>
          <w:shd w:val="clear" w:fill="auto"/>
        </w:rPr>
        <w:t>liff@ffrc.cn</w:t>
      </w:r>
      <w:r>
        <w:rPr>
          <w:rFonts w:ascii="宋体" w:hAnsi="宋体" w:eastAsia="宋体" w:cs="宋体"/>
          <w:color w:val="0000FF"/>
          <w:spacing w:val="0"/>
          <w:position w:val="0"/>
          <w:sz w:val="24"/>
          <w:u w:val="single"/>
          <w:shd w:val="clear" w:fill="auto"/>
        </w:rPr>
        <w:fldChar w:fldCharType="end"/>
      </w:r>
      <w:r>
        <w:rPr>
          <w:rFonts w:ascii="宋体" w:hAnsi="宋体" w:eastAsia="宋体" w:cs="宋体"/>
          <w:color w:val="000000"/>
          <w:spacing w:val="0"/>
          <w:position w:val="0"/>
          <w:sz w:val="24"/>
          <w:shd w:val="clear" w:fill="auto"/>
        </w:rPr>
        <w:t xml:space="preserve">; </w:t>
      </w:r>
      <w:r>
        <w:rPr>
          <w:rFonts w:ascii="宋体" w:hAnsi="宋体" w:eastAsia="宋体" w:cs="宋体"/>
          <w:color w:val="auto"/>
          <w:spacing w:val="0"/>
          <w:position w:val="0"/>
          <w:sz w:val="24"/>
          <w:shd w:val="clear" w:fill="auto"/>
        </w:rPr>
        <w:t>zhangl@ffrc.cn</w:t>
      </w:r>
      <w:r>
        <w:rPr>
          <w:rFonts w:ascii="宋体" w:hAnsi="宋体" w:eastAsia="宋体" w:cs="宋体"/>
          <w:color w:val="000000"/>
          <w:spacing w:val="0"/>
          <w:position w:val="0"/>
          <w:sz w:val="24"/>
          <w:shd w:val="clear" w:fill="auto"/>
        </w:rPr>
        <w:t>；</w:t>
      </w:r>
      <w:r>
        <w:rPr>
          <w:rFonts w:ascii="宋体" w:hAnsi="宋体" w:eastAsia="宋体" w:cs="宋体"/>
          <w:color w:val="auto"/>
          <w:spacing w:val="0"/>
          <w:position w:val="0"/>
          <w:sz w:val="24"/>
          <w:shd w:val="clear" w:fill="auto"/>
        </w:rPr>
        <w:t>yuanxh@ffrc.cn</w:t>
      </w:r>
    </w:p>
    <w:p>
      <w:pPr>
        <w:spacing w:before="0" w:after="156" w:line="300" w:lineRule="auto"/>
        <w:ind w:left="360" w:right="0" w:firstLine="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p>
    <w:p>
      <w:pPr>
        <w:widowControl w:val="0"/>
        <w:spacing w:before="0" w:after="156" w:line="300" w:lineRule="auto"/>
        <w:ind w:left="0" w:right="0" w:firstLine="0"/>
        <w:jc w:val="left"/>
        <w:rPr>
          <w:rFonts w:ascii="Times New Roman" w:hAnsi="Times New Roman" w:eastAsia="Times New Roman" w:cs="Times New Roman"/>
          <w:color w:val="auto"/>
          <w:spacing w:val="0"/>
          <w:position w:val="0"/>
          <w:sz w:val="21"/>
          <w:shd w:val="clear" w:fill="auto"/>
        </w:rPr>
      </w:pPr>
    </w:p>
    <w:p>
      <w:pPr>
        <w:spacing w:before="0" w:after="156" w:line="300" w:lineRule="auto"/>
        <w:ind w:left="0" w:right="0" w:firstLine="0"/>
        <w:jc w:val="both"/>
        <w:rPr>
          <w:rFonts w:ascii="Times New Roman" w:hAnsi="Times New Roman" w:eastAsia="Times New Roman" w:cs="Times New Roman"/>
          <w:color w:val="auto"/>
          <w:spacing w:val="0"/>
          <w:position w:val="0"/>
          <w:sz w:val="21"/>
          <w:shd w:val="clear" w:fill="auto"/>
        </w:rPr>
      </w:pPr>
    </w:p>
    <w:p>
      <w:pPr>
        <w:widowControl w:val="0"/>
        <w:spacing w:before="0" w:after="156" w:line="300" w:lineRule="auto"/>
        <w:ind w:left="0" w:right="0" w:firstLine="0"/>
        <w:jc w:val="center"/>
        <w:rPr>
          <w:rFonts w:ascii="Times New Roman" w:hAnsi="Times New Roman" w:eastAsia="Times New Roman" w:cs="Times New Roman"/>
          <w:color w:val="auto"/>
          <w:spacing w:val="0"/>
          <w:position w:val="0"/>
          <w:sz w:val="32"/>
          <w:shd w:val="clear" w:fill="auto"/>
        </w:rPr>
      </w:pPr>
      <w:r>
        <w:rPr>
          <w:rFonts w:ascii="Times New Roman" w:hAnsi="Times New Roman" w:eastAsia="Times New Roman" w:cs="Times New Roman"/>
          <w:b/>
          <w:color w:val="auto"/>
          <w:spacing w:val="0"/>
          <w:position w:val="0"/>
          <w:sz w:val="32"/>
          <w:shd w:val="clear" w:fill="auto"/>
        </w:rPr>
        <w:t xml:space="preserve">2016-2018 Professional Master’s Program in Fishery Science </w:t>
      </w:r>
    </w:p>
    <w:p>
      <w:pPr>
        <w:widowControl w:val="0"/>
        <w:spacing w:before="0" w:after="156" w:line="300" w:lineRule="auto"/>
        <w:ind w:left="0" w:right="0" w:firstLine="0"/>
        <w:jc w:val="center"/>
        <w:rPr>
          <w:rFonts w:ascii="Times New Roman" w:hAnsi="Times New Roman" w:eastAsia="Times New Roman" w:cs="Times New Roman"/>
          <w:b/>
          <w:color w:val="auto"/>
          <w:spacing w:val="0"/>
          <w:position w:val="0"/>
          <w:sz w:val="28"/>
          <w:shd w:val="clear" w:fill="auto"/>
        </w:rPr>
      </w:pPr>
      <w:r>
        <w:rPr>
          <w:rFonts w:ascii="Times New Roman" w:hAnsi="Times New Roman" w:eastAsia="Times New Roman" w:cs="Times New Roman"/>
          <w:b/>
          <w:color w:val="auto"/>
          <w:spacing w:val="0"/>
          <w:position w:val="0"/>
          <w:sz w:val="28"/>
          <w:shd w:val="clear" w:fill="auto"/>
        </w:rPr>
        <w:t>2016.09.12-2018.09.11</w:t>
      </w:r>
    </w:p>
    <w:p>
      <w:pPr>
        <w:spacing w:before="0" w:after="156" w:line="300" w:lineRule="auto"/>
        <w:ind w:left="0" w:right="0" w:firstLine="0"/>
        <w:jc w:val="both"/>
        <w:rPr>
          <w:rFonts w:ascii="Times New Roman" w:hAnsi="Times New Roman" w:eastAsia="Times New Roman" w:cs="Times New Roman"/>
          <w:b/>
          <w:color w:val="auto"/>
          <w:spacing w:val="0"/>
          <w:position w:val="0"/>
          <w:sz w:val="24"/>
          <w:shd w:val="clear" w:fill="auto"/>
        </w:rPr>
      </w:pPr>
      <w:r>
        <w:rPr>
          <w:rFonts w:ascii="Times New Roman" w:hAnsi="Times New Roman" w:eastAsia="Times New Roman" w:cs="Times New Roman"/>
          <w:b/>
          <w:color w:val="auto"/>
          <w:spacing w:val="0"/>
          <w:position w:val="0"/>
          <w:sz w:val="24"/>
          <w:shd w:val="clear" w:fill="auto"/>
        </w:rPr>
        <w:t xml:space="preserve">Part I. Introduction </w:t>
      </w:r>
    </w:p>
    <w:p>
      <w:pPr>
        <w:numPr>
          <w:ilvl w:val="0"/>
          <w:numId w:val="12"/>
        </w:numPr>
        <w:spacing w:before="0" w:after="156" w:line="300" w:lineRule="auto"/>
        <w:ind w:left="360" w:right="0" w:hanging="360"/>
        <w:jc w:val="both"/>
        <w:rPr>
          <w:rFonts w:ascii="Times New Roman" w:hAnsi="Times New Roman" w:eastAsia="Times New Roman" w:cs="Times New Roman"/>
          <w:b/>
          <w:color w:val="auto"/>
          <w:spacing w:val="0"/>
          <w:position w:val="0"/>
          <w:sz w:val="24"/>
          <w:shd w:val="clear" w:fill="auto"/>
        </w:rPr>
      </w:pPr>
      <w:r>
        <w:rPr>
          <w:rFonts w:ascii="Times New Roman" w:hAnsi="Times New Roman" w:eastAsia="Times New Roman" w:cs="Times New Roman"/>
          <w:b/>
          <w:color w:val="auto"/>
          <w:spacing w:val="0"/>
          <w:position w:val="0"/>
          <w:sz w:val="24"/>
          <w:shd w:val="clear" w:fill="auto"/>
        </w:rPr>
        <w:t>Organizer profile</w:t>
      </w:r>
    </w:p>
    <w:p>
      <w:pPr>
        <w:spacing w:before="0" w:after="156" w:line="300" w:lineRule="auto"/>
        <w:ind w:left="0" w:right="0" w:firstLine="48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 xml:space="preserve">Nanjing Agricultural University (NAU), founded in 1902, is a state key university and a “211” project university under the Ministry of Education of China. With agriculture and life sciences as its orientations, NAU has a harmonious development of diverse branches of learning including agriculture, science, economy, management, engineering, art, law, etc.. During it’s over 100-year of education, NAU has graduated more than 200, 000 talents including 51 academicians. </w:t>
      </w:r>
    </w:p>
    <w:p>
      <w:pPr>
        <w:spacing w:before="0" w:after="156" w:line="300" w:lineRule="auto"/>
        <w:ind w:left="0" w:right="0" w:firstLine="48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Wuxi Fisheries College of Nanjing Agricultural University (WFC) was jointly established by Freshwater Fisheries Research Center of Chinese Academy of Fishery Sciences (FFRC) and NAU in 1993, and started MSc education in 1996. Currently, it provides 2 PhD programs and 2 MSc programs respectively in aquaculture and hydrobiology, with the PhD program in aquaculture being the fist-class discipline; besides, it has one postdoctoral station for aquaculture. Meanwhile, WFC is among the first institutes that set up Professional Master’s Program in fishery science.</w:t>
      </w:r>
    </w:p>
    <w:p>
      <w:pPr>
        <w:spacing w:before="0" w:after="156" w:line="300" w:lineRule="auto"/>
        <w:ind w:left="0" w:right="0" w:firstLine="48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 xml:space="preserve">Since 1981, WFC began to organize international training programs. So far, over 2180 fishery technicians and officials from 113 countries have been trained here. In 2014, WFC was designated as the FAO Reference Centre for Aquaculture and Inland Fishery Research and Training. A team of high-level, reliable English proficiency and rich management experiences has been forged during the long period of international training and education. The postgraduate education programs of WFC are based on supervisor-responsible system and allocated with professional management team to make full advantage of team-leadership. WFC also strictly adheres to the quality management standard of ISO9001 system for its course design, arrangement and teaching evaluation, in an effort to demonstrate Chinese characteristics while absorbing the merits of world famous universities, and to guarantee high quality and utmost effect. </w:t>
      </w:r>
    </w:p>
    <w:p>
      <w:pPr>
        <w:numPr>
          <w:ilvl w:val="0"/>
          <w:numId w:val="13"/>
        </w:numPr>
        <w:spacing w:before="0" w:after="156" w:line="300" w:lineRule="auto"/>
        <w:ind w:left="360" w:right="0" w:hanging="360"/>
        <w:jc w:val="both"/>
        <w:rPr>
          <w:rFonts w:ascii="Times New Roman" w:hAnsi="Times New Roman" w:eastAsia="Times New Roman" w:cs="Times New Roman"/>
          <w:b/>
          <w:color w:val="auto"/>
          <w:spacing w:val="0"/>
          <w:position w:val="0"/>
          <w:sz w:val="24"/>
          <w:shd w:val="clear" w:fill="auto"/>
        </w:rPr>
      </w:pPr>
      <w:r>
        <w:rPr>
          <w:rFonts w:ascii="Times New Roman" w:hAnsi="Times New Roman" w:eastAsia="Times New Roman" w:cs="Times New Roman"/>
          <w:b/>
          <w:color w:val="auto"/>
          <w:spacing w:val="0"/>
          <w:position w:val="0"/>
          <w:sz w:val="24"/>
          <w:shd w:val="clear" w:fill="auto"/>
        </w:rPr>
        <w:t>Program objectives</w:t>
      </w:r>
    </w:p>
    <w:p>
      <w:pPr>
        <w:numPr>
          <w:ilvl w:val="0"/>
          <w:numId w:val="13"/>
        </w:numPr>
        <w:spacing w:before="0" w:after="0" w:line="300" w:lineRule="auto"/>
        <w:ind w:left="840" w:right="0" w:hanging="42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A profound knowledge of basic theories and professional knowledge of fishery science, familiar with the world fishery S&amp;T development and equipped with a comprehensive knowledge structure;</w:t>
      </w:r>
    </w:p>
    <w:p>
      <w:pPr>
        <w:numPr>
          <w:ilvl w:val="0"/>
          <w:numId w:val="13"/>
        </w:numPr>
        <w:spacing w:before="0" w:after="0" w:line="300" w:lineRule="auto"/>
        <w:ind w:left="840" w:right="0" w:hanging="42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A spirit of innovation and practices, capable of independently engaging in fishery technical and rural developing tasks;</w:t>
      </w:r>
    </w:p>
    <w:p>
      <w:pPr>
        <w:numPr>
          <w:ilvl w:val="0"/>
          <w:numId w:val="13"/>
        </w:numPr>
        <w:spacing w:before="0" w:after="0" w:line="300" w:lineRule="auto"/>
        <w:ind w:left="840" w:right="0" w:hanging="42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Good at innovative thinking, able to carry out independent research in fisheries.</w:t>
      </w:r>
    </w:p>
    <w:p>
      <w:pPr>
        <w:numPr>
          <w:ilvl w:val="0"/>
          <w:numId w:val="13"/>
        </w:numPr>
        <w:spacing w:before="0" w:after="156" w:line="300" w:lineRule="auto"/>
        <w:ind w:left="840" w:right="0" w:hanging="42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A rigorous style of study, good morality, committed to promoting the development of fisheries and agricultural industries through strengthening S&amp;T cooperation between his/her country and China;</w:t>
      </w:r>
    </w:p>
    <w:p>
      <w:pPr>
        <w:numPr>
          <w:ilvl w:val="0"/>
          <w:numId w:val="13"/>
        </w:numPr>
        <w:spacing w:before="0" w:after="156" w:line="300" w:lineRule="auto"/>
        <w:ind w:left="360" w:right="0" w:hanging="360"/>
        <w:jc w:val="both"/>
        <w:rPr>
          <w:rFonts w:ascii="Times New Roman" w:hAnsi="Times New Roman" w:eastAsia="Times New Roman" w:cs="Times New Roman"/>
          <w:b/>
          <w:color w:val="auto"/>
          <w:spacing w:val="0"/>
          <w:position w:val="0"/>
          <w:sz w:val="24"/>
          <w:shd w:val="clear" w:fill="auto"/>
        </w:rPr>
      </w:pPr>
      <w:r>
        <w:rPr>
          <w:rFonts w:ascii="Times New Roman" w:hAnsi="Times New Roman" w:eastAsia="Times New Roman" w:cs="Times New Roman"/>
          <w:b/>
          <w:color w:val="auto"/>
          <w:spacing w:val="0"/>
          <w:position w:val="0"/>
          <w:sz w:val="24"/>
          <w:shd w:val="clear" w:fill="auto"/>
        </w:rPr>
        <w:t>Requirement for applicants</w:t>
      </w:r>
    </w:p>
    <w:p>
      <w:pPr>
        <w:spacing w:before="0" w:after="0" w:line="300" w:lineRule="auto"/>
        <w:ind w:left="0" w:right="0" w:firstLine="48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Applicants should be from fishery-related administration or extension departments, universities, colleges, institutes, or business etc., and should meet the following conditions:</w:t>
      </w:r>
    </w:p>
    <w:p>
      <w:pPr>
        <w:numPr>
          <w:ilvl w:val="0"/>
          <w:numId w:val="14"/>
        </w:numPr>
        <w:spacing w:before="0" w:after="0" w:line="300" w:lineRule="auto"/>
        <w:ind w:left="840" w:right="0" w:hanging="42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In good health condition;</w:t>
      </w:r>
    </w:p>
    <w:p>
      <w:pPr>
        <w:numPr>
          <w:ilvl w:val="0"/>
          <w:numId w:val="14"/>
        </w:numPr>
        <w:spacing w:before="0" w:after="0" w:line="300" w:lineRule="auto"/>
        <w:ind w:left="840" w:right="0" w:hanging="42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 xml:space="preserve">With the certificate a bachelor's degree (or an equal one) in fishery, biology, environment, and related majors; </w:t>
      </w:r>
    </w:p>
    <w:p>
      <w:pPr>
        <w:numPr>
          <w:ilvl w:val="0"/>
          <w:numId w:val="14"/>
        </w:numPr>
        <w:spacing w:before="0" w:after="0" w:line="300" w:lineRule="auto"/>
        <w:ind w:left="840" w:right="0" w:hanging="42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 xml:space="preserve">English as the mother tongue or an ideal English proficiency test score (eg. IELES </w:t>
      </w:r>
      <w:r>
        <w:rPr>
          <w:rFonts w:ascii="宋体" w:hAnsi="宋体" w:eastAsia="宋体" w:cs="宋体"/>
          <w:color w:val="auto"/>
          <w:spacing w:val="0"/>
          <w:position w:val="0"/>
          <w:sz w:val="24"/>
          <w:shd w:val="clear" w:fill="auto"/>
        </w:rPr>
        <w:t>higher than 6.0</w:t>
      </w:r>
      <w:r>
        <w:rPr>
          <w:rFonts w:ascii="Times New Roman" w:hAnsi="Times New Roman" w:eastAsia="Times New Roman" w:cs="Times New Roman"/>
          <w:color w:val="auto"/>
          <w:spacing w:val="0"/>
          <w:position w:val="0"/>
          <w:sz w:val="24"/>
          <w:shd w:val="clear" w:fill="auto"/>
        </w:rPr>
        <w:t>, or TOEFL higher than 70, etc.);</w:t>
      </w:r>
    </w:p>
    <w:p>
      <w:pPr>
        <w:numPr>
          <w:ilvl w:val="0"/>
          <w:numId w:val="14"/>
        </w:numPr>
        <w:spacing w:before="0" w:after="156" w:line="300" w:lineRule="auto"/>
        <w:ind w:left="840" w:right="0" w:hanging="42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Under the age of 40.</w:t>
      </w:r>
    </w:p>
    <w:p>
      <w:pPr>
        <w:numPr>
          <w:ilvl w:val="0"/>
          <w:numId w:val="14"/>
        </w:numPr>
        <w:spacing w:before="0" w:after="156" w:line="300" w:lineRule="auto"/>
        <w:ind w:left="360" w:right="0" w:hanging="360"/>
        <w:jc w:val="both"/>
        <w:rPr>
          <w:rFonts w:ascii="Times New Roman" w:hAnsi="Times New Roman" w:eastAsia="Times New Roman" w:cs="Times New Roman"/>
          <w:b/>
          <w:color w:val="auto"/>
          <w:spacing w:val="0"/>
          <w:position w:val="0"/>
          <w:sz w:val="24"/>
          <w:shd w:val="clear" w:fill="auto"/>
        </w:rPr>
      </w:pPr>
      <w:r>
        <w:rPr>
          <w:rFonts w:ascii="Times New Roman" w:hAnsi="Times New Roman" w:eastAsia="Times New Roman" w:cs="Times New Roman"/>
          <w:b/>
          <w:color w:val="auto"/>
          <w:spacing w:val="0"/>
          <w:position w:val="0"/>
          <w:sz w:val="24"/>
          <w:shd w:val="clear" w:fill="auto"/>
        </w:rPr>
        <w:t>Program type, duration, and credit requirement</w:t>
      </w:r>
    </w:p>
    <w:p>
      <w:pPr>
        <w:spacing w:before="0" w:after="156" w:line="300" w:lineRule="auto"/>
        <w:ind w:left="360" w:right="0" w:firstLine="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b/>
          <w:color w:val="auto"/>
          <w:spacing w:val="0"/>
          <w:position w:val="0"/>
          <w:sz w:val="24"/>
          <w:shd w:val="clear" w:fill="auto"/>
        </w:rPr>
        <w:t>Program type:</w:t>
      </w:r>
      <w:r>
        <w:rPr>
          <w:rFonts w:ascii="Times New Roman" w:hAnsi="Times New Roman" w:eastAsia="Times New Roman" w:cs="Times New Roman"/>
          <w:color w:val="auto"/>
          <w:spacing w:val="0"/>
          <w:position w:val="0"/>
          <w:sz w:val="24"/>
          <w:shd w:val="clear" w:fill="auto"/>
        </w:rPr>
        <w:t xml:space="preserve"> Full-time education for 2 years.</w:t>
      </w:r>
    </w:p>
    <w:p>
      <w:pPr>
        <w:spacing w:before="0" w:after="156" w:line="300" w:lineRule="auto"/>
        <w:ind w:left="360" w:right="0" w:firstLine="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b/>
          <w:color w:val="auto"/>
          <w:spacing w:val="0"/>
          <w:position w:val="0"/>
          <w:sz w:val="24"/>
          <w:shd w:val="clear" w:fill="auto"/>
        </w:rPr>
        <w:t>Duration:</w:t>
      </w:r>
      <w:r>
        <w:rPr>
          <w:rFonts w:ascii="Times New Roman" w:hAnsi="Times New Roman" w:eastAsia="Times New Roman" w:cs="Times New Roman"/>
          <w:color w:val="auto"/>
          <w:spacing w:val="0"/>
          <w:position w:val="0"/>
          <w:sz w:val="24"/>
          <w:shd w:val="clear" w:fill="auto"/>
        </w:rPr>
        <w:t xml:space="preserve"> September 12, 2016- September 11, 2018 (subject to the official admission notice)</w:t>
      </w:r>
    </w:p>
    <w:p>
      <w:pPr>
        <w:spacing w:before="0" w:after="156" w:line="300" w:lineRule="auto"/>
        <w:ind w:left="360" w:right="0" w:firstLine="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b/>
          <w:color w:val="auto"/>
          <w:spacing w:val="0"/>
          <w:position w:val="0"/>
          <w:sz w:val="24"/>
          <w:shd w:val="clear" w:fill="auto"/>
        </w:rPr>
        <w:t>Credit requirement</w:t>
      </w:r>
      <w:r>
        <w:rPr>
          <w:rFonts w:ascii="Times New Roman" w:hAnsi="Times New Roman" w:eastAsia="Times New Roman" w:cs="Times New Roman"/>
          <w:color w:val="auto"/>
          <w:spacing w:val="0"/>
          <w:position w:val="0"/>
          <w:sz w:val="24"/>
          <w:shd w:val="clear" w:fill="auto"/>
        </w:rPr>
        <w:t xml:space="preserve">: students should complete at least 28 credits for the full program. </w:t>
      </w:r>
    </w:p>
    <w:p>
      <w:pPr>
        <w:numPr>
          <w:ilvl w:val="0"/>
          <w:numId w:val="15"/>
        </w:numPr>
        <w:spacing w:before="0" w:after="156" w:line="300" w:lineRule="auto"/>
        <w:ind w:left="360" w:right="0" w:hanging="360"/>
        <w:jc w:val="both"/>
        <w:rPr>
          <w:rFonts w:ascii="Times New Roman" w:hAnsi="Times New Roman" w:eastAsia="Times New Roman" w:cs="Times New Roman"/>
          <w:b/>
          <w:color w:val="auto"/>
          <w:spacing w:val="0"/>
          <w:position w:val="0"/>
          <w:sz w:val="24"/>
          <w:shd w:val="clear" w:fill="auto"/>
        </w:rPr>
      </w:pPr>
      <w:r>
        <w:rPr>
          <w:rFonts w:ascii="Times New Roman" w:hAnsi="Times New Roman" w:eastAsia="Times New Roman" w:cs="Times New Roman"/>
          <w:b/>
          <w:color w:val="auto"/>
          <w:spacing w:val="0"/>
          <w:position w:val="0"/>
          <w:sz w:val="24"/>
          <w:shd w:val="clear" w:fill="auto"/>
        </w:rPr>
        <w:t>Curriculum</w:t>
      </w:r>
    </w:p>
    <w:tbl>
      <w:tblPr>
        <w:tblStyle w:val="3"/>
        <w:tblW w:w="9087" w:type="dxa"/>
        <w:jc w:val="center"/>
        <w:tblInd w:w="0" w:type="dxa"/>
        <w:tblLayout w:type="fixed"/>
        <w:tblCellMar>
          <w:top w:w="0" w:type="dxa"/>
          <w:left w:w="108" w:type="dxa"/>
          <w:bottom w:w="0" w:type="dxa"/>
          <w:right w:w="108" w:type="dxa"/>
        </w:tblCellMar>
      </w:tblPr>
      <w:tblGrid>
        <w:gridCol w:w="1242"/>
        <w:gridCol w:w="3827"/>
        <w:gridCol w:w="1831"/>
        <w:gridCol w:w="888"/>
        <w:gridCol w:w="1299"/>
      </w:tblGrid>
      <w:tr>
        <w:tblPrEx>
          <w:tblLayout w:type="fixed"/>
          <w:tblCellMar>
            <w:top w:w="0" w:type="dxa"/>
            <w:left w:w="108" w:type="dxa"/>
            <w:bottom w:w="0" w:type="dxa"/>
            <w:right w:w="108" w:type="dxa"/>
          </w:tblCellMar>
        </w:tblPrEx>
        <w:trPr>
          <w:trHeight w:val="0" w:hRule="atLeast"/>
          <w:jc w:val="center"/>
        </w:trPr>
        <w:tc>
          <w:tcPr>
            <w:tcW w:w="1242"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b/>
                <w:color w:val="auto"/>
                <w:spacing w:val="0"/>
                <w:position w:val="0"/>
                <w:sz w:val="24"/>
                <w:shd w:val="clear" w:fill="auto"/>
              </w:rPr>
              <w:t>Type</w:t>
            </w:r>
          </w:p>
        </w:tc>
        <w:tc>
          <w:tcPr>
            <w:tcW w:w="3827"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b/>
                <w:color w:val="auto"/>
                <w:spacing w:val="0"/>
                <w:position w:val="0"/>
                <w:sz w:val="24"/>
                <w:shd w:val="clear" w:fill="auto"/>
              </w:rPr>
              <w:t>Courses</w:t>
            </w:r>
          </w:p>
        </w:tc>
        <w:tc>
          <w:tcPr>
            <w:tcW w:w="1831"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b/>
                <w:color w:val="auto"/>
                <w:spacing w:val="0"/>
                <w:position w:val="0"/>
                <w:sz w:val="24"/>
                <w:shd w:val="clear" w:fill="auto"/>
              </w:rPr>
              <w:t>College in Charge</w:t>
            </w:r>
          </w:p>
        </w:tc>
        <w:tc>
          <w:tcPr>
            <w:tcW w:w="888"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b/>
                <w:color w:val="auto"/>
                <w:spacing w:val="0"/>
                <w:position w:val="0"/>
                <w:sz w:val="24"/>
                <w:shd w:val="clear" w:fill="auto"/>
              </w:rPr>
              <w:t xml:space="preserve">Credits </w:t>
            </w:r>
          </w:p>
        </w:tc>
        <w:tc>
          <w:tcPr>
            <w:tcW w:w="1299"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b/>
                <w:color w:val="auto"/>
                <w:spacing w:val="0"/>
                <w:position w:val="0"/>
                <w:sz w:val="24"/>
                <w:shd w:val="clear" w:fill="auto"/>
              </w:rPr>
              <w:t>Credit hours</w:t>
            </w:r>
          </w:p>
        </w:tc>
      </w:tr>
      <w:tr>
        <w:tblPrEx>
          <w:tblLayout w:type="fixed"/>
          <w:tblCellMar>
            <w:top w:w="0" w:type="dxa"/>
            <w:left w:w="108" w:type="dxa"/>
            <w:bottom w:w="0" w:type="dxa"/>
            <w:right w:w="108" w:type="dxa"/>
          </w:tblCellMar>
        </w:tblPrEx>
        <w:trPr>
          <w:trHeight w:val="0" w:hRule="atLeast"/>
          <w:jc w:val="center"/>
        </w:trPr>
        <w:tc>
          <w:tcPr>
            <w:tcW w:w="1242" w:type="dxa"/>
            <w:vMerge w:val="restart"/>
            <w:tcBorders>
              <w:top w:val="single" w:color="000000" w:sz="6"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b/>
                <w:color w:val="auto"/>
                <w:spacing w:val="0"/>
                <w:position w:val="0"/>
                <w:sz w:val="24"/>
                <w:shd w:val="clear" w:fill="auto"/>
              </w:rPr>
              <w:t xml:space="preserve">Compulsory </w:t>
            </w:r>
          </w:p>
        </w:tc>
        <w:tc>
          <w:tcPr>
            <w:tcW w:w="3827"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Practice</w:t>
            </w:r>
          </w:p>
        </w:tc>
        <w:tc>
          <w:tcPr>
            <w:tcW w:w="1831"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WFC</w:t>
            </w:r>
          </w:p>
        </w:tc>
        <w:tc>
          <w:tcPr>
            <w:tcW w:w="888"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3</w:t>
            </w:r>
          </w:p>
        </w:tc>
        <w:tc>
          <w:tcPr>
            <w:tcW w:w="1299"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Layout w:type="fixed"/>
          <w:tblCellMar>
            <w:top w:w="0" w:type="dxa"/>
            <w:left w:w="108" w:type="dxa"/>
            <w:bottom w:w="0" w:type="dxa"/>
            <w:right w:w="108" w:type="dxa"/>
          </w:tblCellMar>
        </w:tblPrEx>
        <w:trPr>
          <w:trHeight w:val="0" w:hRule="atLeast"/>
          <w:jc w:val="center"/>
        </w:trPr>
        <w:tc>
          <w:tcPr>
            <w:tcW w:w="1242" w:type="dxa"/>
            <w:vMerge w:val="continue"/>
            <w:tcBorders>
              <w:top w:val="single" w:color="000000" w:sz="8"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200" w:line="276" w:lineRule="auto"/>
              <w:ind w:left="0" w:right="0" w:firstLine="0"/>
              <w:jc w:val="left"/>
              <w:rPr>
                <w:rFonts w:ascii="宋体" w:hAnsi="宋体" w:eastAsia="宋体" w:cs="宋体"/>
                <w:color w:val="auto"/>
                <w:spacing w:val="0"/>
                <w:position w:val="0"/>
                <w:sz w:val="22"/>
                <w:shd w:val="clear" w:fill="auto"/>
              </w:rPr>
            </w:pPr>
          </w:p>
        </w:tc>
        <w:tc>
          <w:tcPr>
            <w:tcW w:w="3827"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Dissertation</w:t>
            </w:r>
          </w:p>
        </w:tc>
        <w:tc>
          <w:tcPr>
            <w:tcW w:w="1831"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WFC</w:t>
            </w:r>
          </w:p>
        </w:tc>
        <w:tc>
          <w:tcPr>
            <w:tcW w:w="888"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3</w:t>
            </w:r>
          </w:p>
        </w:tc>
        <w:tc>
          <w:tcPr>
            <w:tcW w:w="1299"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Layout w:type="fixed"/>
          <w:tblCellMar>
            <w:top w:w="0" w:type="dxa"/>
            <w:left w:w="108" w:type="dxa"/>
            <w:bottom w:w="0" w:type="dxa"/>
            <w:right w:w="108" w:type="dxa"/>
          </w:tblCellMar>
        </w:tblPrEx>
        <w:trPr>
          <w:trHeight w:val="0" w:hRule="atLeast"/>
          <w:jc w:val="center"/>
        </w:trPr>
        <w:tc>
          <w:tcPr>
            <w:tcW w:w="1242" w:type="dxa"/>
            <w:vMerge w:val="restart"/>
            <w:tcBorders>
              <w:top w:val="single" w:color="000000" w:sz="6"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b/>
                <w:color w:val="auto"/>
                <w:spacing w:val="0"/>
                <w:position w:val="0"/>
                <w:sz w:val="24"/>
                <w:shd w:val="clear" w:fill="auto"/>
              </w:rPr>
              <w:t>Compulsory</w:t>
            </w:r>
          </w:p>
        </w:tc>
        <w:tc>
          <w:tcPr>
            <w:tcW w:w="3827"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z w:val="22"/>
                <w:shd w:val="clear" w:fill="auto"/>
              </w:rPr>
            </w:pPr>
            <w:r>
              <w:rPr>
                <w:rFonts w:ascii="Times New Roman" w:hAnsi="Times New Roman" w:eastAsia="Times New Roman" w:cs="Times New Roman"/>
                <w:color w:val="auto"/>
                <w:spacing w:val="0"/>
                <w:position w:val="0"/>
                <w:sz w:val="22"/>
                <w:shd w:val="clear" w:fill="auto"/>
              </w:rPr>
              <w:t>Media and Broadcast for Agriculture Extension: Technology &amp; Application</w:t>
            </w:r>
          </w:p>
        </w:tc>
        <w:tc>
          <w:tcPr>
            <w:tcW w:w="1831"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WFC</w:t>
            </w:r>
          </w:p>
        </w:tc>
        <w:tc>
          <w:tcPr>
            <w:tcW w:w="888"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2</w:t>
            </w:r>
          </w:p>
        </w:tc>
        <w:tc>
          <w:tcPr>
            <w:tcW w:w="1299"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32</w:t>
            </w:r>
          </w:p>
        </w:tc>
      </w:tr>
      <w:tr>
        <w:tblPrEx>
          <w:tblLayout w:type="fixed"/>
          <w:tblCellMar>
            <w:top w:w="0" w:type="dxa"/>
            <w:left w:w="108" w:type="dxa"/>
            <w:bottom w:w="0" w:type="dxa"/>
            <w:right w:w="108" w:type="dxa"/>
          </w:tblCellMar>
        </w:tblPrEx>
        <w:trPr>
          <w:trHeight w:val="0" w:hRule="atLeast"/>
          <w:jc w:val="center"/>
        </w:trPr>
        <w:tc>
          <w:tcPr>
            <w:tcW w:w="1242" w:type="dxa"/>
            <w:vMerge w:val="continue"/>
            <w:tcBorders>
              <w:top w:val="single" w:color="000000" w:sz="8"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200" w:line="276" w:lineRule="auto"/>
              <w:ind w:left="0" w:right="0" w:firstLine="0"/>
              <w:jc w:val="left"/>
              <w:rPr>
                <w:rFonts w:ascii="宋体" w:hAnsi="宋体" w:eastAsia="宋体" w:cs="宋体"/>
                <w:color w:val="auto"/>
                <w:spacing w:val="0"/>
                <w:position w:val="0"/>
                <w:sz w:val="22"/>
                <w:shd w:val="clear" w:fill="auto"/>
              </w:rPr>
            </w:pPr>
          </w:p>
        </w:tc>
        <w:tc>
          <w:tcPr>
            <w:tcW w:w="3827"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z w:val="22"/>
                <w:shd w:val="clear" w:fill="auto"/>
              </w:rPr>
            </w:pPr>
            <w:r>
              <w:rPr>
                <w:rFonts w:ascii="Times New Roman" w:hAnsi="Times New Roman" w:eastAsia="Times New Roman" w:cs="Times New Roman"/>
                <w:color w:val="auto"/>
                <w:spacing w:val="0"/>
                <w:position w:val="0"/>
                <w:sz w:val="22"/>
                <w:shd w:val="clear" w:fill="auto"/>
              </w:rPr>
              <w:t>Fishery Technical Extension: Theory and Practices</w:t>
            </w:r>
          </w:p>
        </w:tc>
        <w:tc>
          <w:tcPr>
            <w:tcW w:w="1831"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WFC</w:t>
            </w:r>
          </w:p>
        </w:tc>
        <w:tc>
          <w:tcPr>
            <w:tcW w:w="888"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2</w:t>
            </w:r>
          </w:p>
        </w:tc>
        <w:tc>
          <w:tcPr>
            <w:tcW w:w="1299"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32</w:t>
            </w:r>
          </w:p>
        </w:tc>
      </w:tr>
      <w:tr>
        <w:tblPrEx>
          <w:tblLayout w:type="fixed"/>
          <w:tblCellMar>
            <w:top w:w="0" w:type="dxa"/>
            <w:left w:w="108" w:type="dxa"/>
            <w:bottom w:w="0" w:type="dxa"/>
            <w:right w:w="108" w:type="dxa"/>
          </w:tblCellMar>
        </w:tblPrEx>
        <w:trPr>
          <w:trHeight w:val="0" w:hRule="atLeast"/>
          <w:jc w:val="center"/>
        </w:trPr>
        <w:tc>
          <w:tcPr>
            <w:tcW w:w="1242" w:type="dxa"/>
            <w:vMerge w:val="continue"/>
            <w:tcBorders>
              <w:top w:val="single" w:color="000000" w:sz="8"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200" w:line="276" w:lineRule="auto"/>
              <w:ind w:left="0" w:right="0" w:firstLine="0"/>
              <w:jc w:val="left"/>
              <w:rPr>
                <w:rFonts w:ascii="宋体" w:hAnsi="宋体" w:eastAsia="宋体" w:cs="宋体"/>
                <w:color w:val="auto"/>
                <w:spacing w:val="0"/>
                <w:position w:val="0"/>
                <w:sz w:val="22"/>
                <w:shd w:val="clear" w:fill="auto"/>
              </w:rPr>
            </w:pPr>
          </w:p>
        </w:tc>
        <w:tc>
          <w:tcPr>
            <w:tcW w:w="3827"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z w:val="22"/>
                <w:shd w:val="clear" w:fill="auto"/>
              </w:rPr>
            </w:pPr>
            <w:r>
              <w:rPr>
                <w:rFonts w:ascii="Times New Roman" w:hAnsi="Times New Roman" w:eastAsia="Times New Roman" w:cs="Times New Roman"/>
                <w:color w:val="auto"/>
                <w:spacing w:val="0"/>
                <w:position w:val="0"/>
                <w:sz w:val="22"/>
                <w:shd w:val="clear" w:fill="auto"/>
              </w:rPr>
              <w:t>Science &amp; Technology and Fishery policy development</w:t>
            </w:r>
          </w:p>
        </w:tc>
        <w:tc>
          <w:tcPr>
            <w:tcW w:w="1831"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WFC</w:t>
            </w:r>
          </w:p>
        </w:tc>
        <w:tc>
          <w:tcPr>
            <w:tcW w:w="888"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2</w:t>
            </w:r>
          </w:p>
        </w:tc>
        <w:tc>
          <w:tcPr>
            <w:tcW w:w="1299"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32</w:t>
            </w:r>
          </w:p>
        </w:tc>
      </w:tr>
      <w:tr>
        <w:tblPrEx>
          <w:tblLayout w:type="fixed"/>
          <w:tblCellMar>
            <w:top w:w="0" w:type="dxa"/>
            <w:left w:w="108" w:type="dxa"/>
            <w:bottom w:w="0" w:type="dxa"/>
            <w:right w:w="108" w:type="dxa"/>
          </w:tblCellMar>
        </w:tblPrEx>
        <w:trPr>
          <w:trHeight w:val="0" w:hRule="atLeast"/>
          <w:jc w:val="center"/>
        </w:trPr>
        <w:tc>
          <w:tcPr>
            <w:tcW w:w="1242" w:type="dxa"/>
            <w:vMerge w:val="continue"/>
            <w:tcBorders>
              <w:top w:val="single" w:color="000000" w:sz="8"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200" w:line="276" w:lineRule="auto"/>
              <w:ind w:left="0" w:right="0" w:firstLine="0"/>
              <w:jc w:val="left"/>
              <w:rPr>
                <w:rFonts w:ascii="宋体" w:hAnsi="宋体" w:eastAsia="宋体" w:cs="宋体"/>
                <w:color w:val="auto"/>
                <w:spacing w:val="0"/>
                <w:position w:val="0"/>
                <w:sz w:val="22"/>
                <w:shd w:val="clear" w:fill="auto"/>
              </w:rPr>
            </w:pPr>
          </w:p>
        </w:tc>
        <w:tc>
          <w:tcPr>
            <w:tcW w:w="3827"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z w:val="22"/>
                <w:shd w:val="clear" w:fill="auto"/>
              </w:rPr>
            </w:pPr>
            <w:r>
              <w:rPr>
                <w:rFonts w:ascii="Times New Roman" w:hAnsi="Times New Roman" w:eastAsia="Times New Roman" w:cs="Times New Roman"/>
                <w:color w:val="auto"/>
                <w:spacing w:val="0"/>
                <w:position w:val="0"/>
                <w:sz w:val="22"/>
                <w:shd w:val="clear" w:fill="auto"/>
              </w:rPr>
              <w:t>Aquatic animal breeding technology</w:t>
            </w:r>
          </w:p>
        </w:tc>
        <w:tc>
          <w:tcPr>
            <w:tcW w:w="1831"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WFC</w:t>
            </w:r>
          </w:p>
        </w:tc>
        <w:tc>
          <w:tcPr>
            <w:tcW w:w="888"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2</w:t>
            </w:r>
          </w:p>
        </w:tc>
        <w:tc>
          <w:tcPr>
            <w:tcW w:w="1299"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32</w:t>
            </w:r>
          </w:p>
        </w:tc>
      </w:tr>
      <w:tr>
        <w:tblPrEx>
          <w:tblLayout w:type="fixed"/>
          <w:tblCellMar>
            <w:top w:w="0" w:type="dxa"/>
            <w:left w:w="108" w:type="dxa"/>
            <w:bottom w:w="0" w:type="dxa"/>
            <w:right w:w="108" w:type="dxa"/>
          </w:tblCellMar>
        </w:tblPrEx>
        <w:trPr>
          <w:trHeight w:val="0" w:hRule="atLeast"/>
          <w:jc w:val="center"/>
        </w:trPr>
        <w:tc>
          <w:tcPr>
            <w:tcW w:w="1242" w:type="dxa"/>
            <w:vMerge w:val="continue"/>
            <w:tcBorders>
              <w:top w:val="single" w:color="000000" w:sz="8"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200" w:line="276" w:lineRule="auto"/>
              <w:ind w:left="0" w:right="0" w:firstLine="0"/>
              <w:jc w:val="left"/>
              <w:rPr>
                <w:rFonts w:ascii="宋体" w:hAnsi="宋体" w:eastAsia="宋体" w:cs="宋体"/>
                <w:color w:val="auto"/>
                <w:spacing w:val="0"/>
                <w:position w:val="0"/>
                <w:sz w:val="22"/>
                <w:shd w:val="clear" w:fill="auto"/>
              </w:rPr>
            </w:pPr>
          </w:p>
        </w:tc>
        <w:tc>
          <w:tcPr>
            <w:tcW w:w="3827"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z w:val="22"/>
                <w:shd w:val="clear" w:fill="auto"/>
              </w:rPr>
            </w:pPr>
            <w:r>
              <w:rPr>
                <w:rFonts w:ascii="Times New Roman" w:hAnsi="Times New Roman" w:eastAsia="Times New Roman" w:cs="Times New Roman"/>
                <w:color w:val="auto"/>
                <w:spacing w:val="0"/>
                <w:position w:val="0"/>
                <w:sz w:val="22"/>
                <w:shd w:val="clear" w:fill="auto"/>
              </w:rPr>
              <w:t>Aquatic animal culture &amp; enhancement technology</w:t>
            </w:r>
          </w:p>
        </w:tc>
        <w:tc>
          <w:tcPr>
            <w:tcW w:w="1831"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WFC</w:t>
            </w:r>
          </w:p>
        </w:tc>
        <w:tc>
          <w:tcPr>
            <w:tcW w:w="888"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2</w:t>
            </w:r>
          </w:p>
        </w:tc>
        <w:tc>
          <w:tcPr>
            <w:tcW w:w="1299"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32</w:t>
            </w:r>
          </w:p>
        </w:tc>
      </w:tr>
      <w:tr>
        <w:tblPrEx>
          <w:tblLayout w:type="fixed"/>
          <w:tblCellMar>
            <w:top w:w="0" w:type="dxa"/>
            <w:left w:w="108" w:type="dxa"/>
            <w:bottom w:w="0" w:type="dxa"/>
            <w:right w:w="108" w:type="dxa"/>
          </w:tblCellMar>
        </w:tblPrEx>
        <w:trPr>
          <w:trHeight w:val="0" w:hRule="atLeast"/>
          <w:jc w:val="center"/>
        </w:trPr>
        <w:tc>
          <w:tcPr>
            <w:tcW w:w="1242" w:type="dxa"/>
            <w:vMerge w:val="continue"/>
            <w:tcBorders>
              <w:top w:val="single" w:color="000000" w:sz="8"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200" w:line="276" w:lineRule="auto"/>
              <w:ind w:left="0" w:right="0" w:firstLine="0"/>
              <w:jc w:val="left"/>
              <w:rPr>
                <w:rFonts w:ascii="宋体" w:hAnsi="宋体" w:eastAsia="宋体" w:cs="宋体"/>
                <w:color w:val="auto"/>
                <w:spacing w:val="0"/>
                <w:position w:val="0"/>
                <w:sz w:val="22"/>
                <w:shd w:val="clear" w:fill="auto"/>
              </w:rPr>
            </w:pPr>
          </w:p>
        </w:tc>
        <w:tc>
          <w:tcPr>
            <w:tcW w:w="3827"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z w:val="22"/>
                <w:shd w:val="clear" w:fill="auto"/>
              </w:rPr>
            </w:pPr>
            <w:r>
              <w:rPr>
                <w:rFonts w:ascii="Times New Roman" w:hAnsi="Times New Roman" w:eastAsia="Times New Roman" w:cs="Times New Roman"/>
                <w:color w:val="auto"/>
                <w:spacing w:val="0"/>
                <w:position w:val="0"/>
                <w:sz w:val="22"/>
                <w:shd w:val="clear" w:fill="auto"/>
              </w:rPr>
              <w:t xml:space="preserve">Fish Nutrition and Feed </w:t>
            </w:r>
          </w:p>
        </w:tc>
        <w:tc>
          <w:tcPr>
            <w:tcW w:w="1831"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WFC</w:t>
            </w:r>
          </w:p>
        </w:tc>
        <w:tc>
          <w:tcPr>
            <w:tcW w:w="888"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2</w:t>
            </w:r>
          </w:p>
        </w:tc>
        <w:tc>
          <w:tcPr>
            <w:tcW w:w="1299"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32</w:t>
            </w:r>
          </w:p>
        </w:tc>
      </w:tr>
      <w:tr>
        <w:tblPrEx>
          <w:tblLayout w:type="fixed"/>
          <w:tblCellMar>
            <w:top w:w="0" w:type="dxa"/>
            <w:left w:w="108" w:type="dxa"/>
            <w:bottom w:w="0" w:type="dxa"/>
            <w:right w:w="108" w:type="dxa"/>
          </w:tblCellMar>
        </w:tblPrEx>
        <w:trPr>
          <w:trHeight w:val="0" w:hRule="atLeast"/>
          <w:jc w:val="center"/>
        </w:trPr>
        <w:tc>
          <w:tcPr>
            <w:tcW w:w="1242" w:type="dxa"/>
            <w:vMerge w:val="continue"/>
            <w:tcBorders>
              <w:top w:val="single" w:color="000000" w:sz="8"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200" w:line="276" w:lineRule="auto"/>
              <w:ind w:left="0" w:right="0" w:firstLine="0"/>
              <w:jc w:val="left"/>
              <w:rPr>
                <w:rFonts w:ascii="宋体" w:hAnsi="宋体" w:eastAsia="宋体" w:cs="宋体"/>
                <w:color w:val="auto"/>
                <w:spacing w:val="0"/>
                <w:position w:val="0"/>
                <w:sz w:val="22"/>
                <w:shd w:val="clear" w:fill="auto"/>
              </w:rPr>
            </w:pPr>
          </w:p>
        </w:tc>
        <w:tc>
          <w:tcPr>
            <w:tcW w:w="3827"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z w:val="22"/>
                <w:shd w:val="clear" w:fill="auto"/>
              </w:rPr>
            </w:pPr>
            <w:r>
              <w:rPr>
                <w:rFonts w:ascii="Times New Roman" w:hAnsi="Times New Roman" w:eastAsia="Times New Roman" w:cs="Times New Roman"/>
                <w:color w:val="auto"/>
                <w:spacing w:val="0"/>
                <w:position w:val="0"/>
                <w:sz w:val="22"/>
                <w:shd w:val="clear" w:fill="auto"/>
              </w:rPr>
              <w:t xml:space="preserve"> Chinese language and culture</w:t>
            </w:r>
          </w:p>
        </w:tc>
        <w:tc>
          <w:tcPr>
            <w:tcW w:w="1831"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WFC</w:t>
            </w:r>
          </w:p>
        </w:tc>
        <w:tc>
          <w:tcPr>
            <w:tcW w:w="888"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3</w:t>
            </w:r>
          </w:p>
        </w:tc>
        <w:tc>
          <w:tcPr>
            <w:tcW w:w="1299"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48</w:t>
            </w:r>
          </w:p>
        </w:tc>
      </w:tr>
      <w:tr>
        <w:tblPrEx>
          <w:tblLayout w:type="fixed"/>
          <w:tblCellMar>
            <w:top w:w="0" w:type="dxa"/>
            <w:left w:w="108" w:type="dxa"/>
            <w:bottom w:w="0" w:type="dxa"/>
            <w:right w:w="108" w:type="dxa"/>
          </w:tblCellMar>
        </w:tblPrEx>
        <w:trPr>
          <w:trHeight w:val="0" w:hRule="atLeast"/>
          <w:jc w:val="center"/>
        </w:trPr>
        <w:tc>
          <w:tcPr>
            <w:tcW w:w="1242" w:type="dxa"/>
            <w:vMerge w:val="continue"/>
            <w:tcBorders>
              <w:top w:val="single" w:color="000000" w:sz="8"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200" w:line="276" w:lineRule="auto"/>
              <w:ind w:left="0" w:right="0" w:firstLine="0"/>
              <w:jc w:val="left"/>
              <w:rPr>
                <w:rFonts w:ascii="宋体" w:hAnsi="宋体" w:eastAsia="宋体" w:cs="宋体"/>
                <w:color w:val="auto"/>
                <w:spacing w:val="0"/>
                <w:position w:val="0"/>
                <w:sz w:val="22"/>
                <w:shd w:val="clear" w:fill="auto"/>
              </w:rPr>
            </w:pPr>
          </w:p>
        </w:tc>
        <w:tc>
          <w:tcPr>
            <w:tcW w:w="3827"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z w:val="22"/>
                <w:shd w:val="clear" w:fill="auto"/>
              </w:rPr>
            </w:pPr>
            <w:r>
              <w:rPr>
                <w:rFonts w:ascii="Times New Roman" w:hAnsi="Times New Roman" w:eastAsia="Times New Roman" w:cs="Times New Roman"/>
                <w:color w:val="auto"/>
                <w:spacing w:val="0"/>
                <w:position w:val="0"/>
                <w:sz w:val="22"/>
                <w:shd w:val="clear" w:fill="auto"/>
              </w:rPr>
              <w:t>Seminars on fishery science and technology</w:t>
            </w:r>
          </w:p>
        </w:tc>
        <w:tc>
          <w:tcPr>
            <w:tcW w:w="1831"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WFC</w:t>
            </w:r>
          </w:p>
        </w:tc>
        <w:tc>
          <w:tcPr>
            <w:tcW w:w="888"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3</w:t>
            </w:r>
          </w:p>
        </w:tc>
        <w:tc>
          <w:tcPr>
            <w:tcW w:w="1299"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48</w:t>
            </w:r>
          </w:p>
        </w:tc>
      </w:tr>
      <w:tr>
        <w:tblPrEx>
          <w:tblLayout w:type="fixed"/>
          <w:tblCellMar>
            <w:top w:w="0" w:type="dxa"/>
            <w:left w:w="108" w:type="dxa"/>
            <w:bottom w:w="0" w:type="dxa"/>
            <w:right w:w="108" w:type="dxa"/>
          </w:tblCellMar>
        </w:tblPrEx>
        <w:trPr>
          <w:trHeight w:val="0" w:hRule="atLeast"/>
          <w:jc w:val="center"/>
        </w:trPr>
        <w:tc>
          <w:tcPr>
            <w:tcW w:w="1242" w:type="dxa"/>
            <w:vMerge w:val="restart"/>
            <w:tcBorders>
              <w:top w:val="single" w:color="000000" w:sz="6"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b/>
                <w:color w:val="auto"/>
                <w:spacing w:val="0"/>
                <w:position w:val="0"/>
                <w:sz w:val="24"/>
                <w:shd w:val="clear" w:fill="auto"/>
              </w:rPr>
              <w:t>Selective</w:t>
            </w:r>
          </w:p>
        </w:tc>
        <w:tc>
          <w:tcPr>
            <w:tcW w:w="3827"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z w:val="22"/>
                <w:shd w:val="clear" w:fill="auto"/>
              </w:rPr>
            </w:pPr>
            <w:r>
              <w:rPr>
                <w:rFonts w:ascii="Times New Roman" w:hAnsi="Times New Roman" w:eastAsia="Times New Roman" w:cs="Times New Roman"/>
                <w:color w:val="auto"/>
                <w:spacing w:val="0"/>
                <w:position w:val="0"/>
                <w:sz w:val="22"/>
                <w:shd w:val="clear" w:fill="auto"/>
              </w:rPr>
              <w:t xml:space="preserve">Fishery economy and management </w:t>
            </w:r>
          </w:p>
        </w:tc>
        <w:tc>
          <w:tcPr>
            <w:tcW w:w="1831"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WFC</w:t>
            </w:r>
          </w:p>
        </w:tc>
        <w:tc>
          <w:tcPr>
            <w:tcW w:w="888"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2</w:t>
            </w:r>
          </w:p>
        </w:tc>
        <w:tc>
          <w:tcPr>
            <w:tcW w:w="1299"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32</w:t>
            </w:r>
          </w:p>
        </w:tc>
      </w:tr>
      <w:tr>
        <w:tblPrEx>
          <w:tblLayout w:type="fixed"/>
          <w:tblCellMar>
            <w:top w:w="0" w:type="dxa"/>
            <w:left w:w="108" w:type="dxa"/>
            <w:bottom w:w="0" w:type="dxa"/>
            <w:right w:w="108" w:type="dxa"/>
          </w:tblCellMar>
        </w:tblPrEx>
        <w:trPr>
          <w:trHeight w:val="0" w:hRule="atLeast"/>
          <w:jc w:val="center"/>
        </w:trPr>
        <w:tc>
          <w:tcPr>
            <w:tcW w:w="1242" w:type="dxa"/>
            <w:vMerge w:val="continue"/>
            <w:tcBorders>
              <w:top w:val="single" w:color="000000" w:sz="8"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200" w:line="276" w:lineRule="auto"/>
              <w:ind w:left="0" w:right="0" w:firstLine="0"/>
              <w:jc w:val="left"/>
              <w:rPr>
                <w:rFonts w:ascii="宋体" w:hAnsi="宋体" w:eastAsia="宋体" w:cs="宋体"/>
                <w:color w:val="auto"/>
                <w:spacing w:val="0"/>
                <w:position w:val="0"/>
                <w:sz w:val="22"/>
                <w:shd w:val="clear" w:fill="auto"/>
              </w:rPr>
            </w:pPr>
          </w:p>
        </w:tc>
        <w:tc>
          <w:tcPr>
            <w:tcW w:w="3827"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z w:val="22"/>
                <w:shd w:val="clear" w:fill="auto"/>
              </w:rPr>
            </w:pPr>
            <w:r>
              <w:rPr>
                <w:rFonts w:ascii="Times New Roman" w:hAnsi="Times New Roman" w:eastAsia="Times New Roman" w:cs="Times New Roman"/>
                <w:color w:val="auto"/>
                <w:spacing w:val="0"/>
                <w:position w:val="0"/>
                <w:sz w:val="22"/>
                <w:shd w:val="clear" w:fill="auto"/>
              </w:rPr>
              <w:t>Management &amp; utilization of fishery resources</w:t>
            </w:r>
          </w:p>
        </w:tc>
        <w:tc>
          <w:tcPr>
            <w:tcW w:w="1831"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WFC</w:t>
            </w:r>
          </w:p>
        </w:tc>
        <w:tc>
          <w:tcPr>
            <w:tcW w:w="888"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2</w:t>
            </w:r>
          </w:p>
        </w:tc>
        <w:tc>
          <w:tcPr>
            <w:tcW w:w="1299"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32</w:t>
            </w:r>
          </w:p>
        </w:tc>
      </w:tr>
      <w:tr>
        <w:tblPrEx>
          <w:tblLayout w:type="fixed"/>
          <w:tblCellMar>
            <w:top w:w="0" w:type="dxa"/>
            <w:left w:w="108" w:type="dxa"/>
            <w:bottom w:w="0" w:type="dxa"/>
            <w:right w:w="108" w:type="dxa"/>
          </w:tblCellMar>
        </w:tblPrEx>
        <w:trPr>
          <w:trHeight w:val="0" w:hRule="atLeast"/>
          <w:jc w:val="center"/>
        </w:trPr>
        <w:tc>
          <w:tcPr>
            <w:tcW w:w="1242" w:type="dxa"/>
            <w:vMerge w:val="continue"/>
            <w:tcBorders>
              <w:top w:val="single" w:color="000000" w:sz="8"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200" w:line="276" w:lineRule="auto"/>
              <w:ind w:left="0" w:right="0" w:firstLine="0"/>
              <w:jc w:val="left"/>
              <w:rPr>
                <w:rFonts w:ascii="宋体" w:hAnsi="宋体" w:eastAsia="宋体" w:cs="宋体"/>
                <w:color w:val="auto"/>
                <w:spacing w:val="0"/>
                <w:position w:val="0"/>
                <w:sz w:val="22"/>
                <w:shd w:val="clear" w:fill="auto"/>
              </w:rPr>
            </w:pPr>
          </w:p>
        </w:tc>
        <w:tc>
          <w:tcPr>
            <w:tcW w:w="3827"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z w:val="22"/>
                <w:shd w:val="clear" w:fill="auto"/>
              </w:rPr>
            </w:pPr>
            <w:r>
              <w:rPr>
                <w:rFonts w:ascii="Times New Roman" w:hAnsi="Times New Roman" w:eastAsia="Times New Roman" w:cs="Times New Roman"/>
                <w:color w:val="auto"/>
                <w:spacing w:val="0"/>
                <w:position w:val="0"/>
                <w:sz w:val="22"/>
                <w:shd w:val="clear" w:fill="auto"/>
              </w:rPr>
              <w:t xml:space="preserve">Aquatic product safety and quality control </w:t>
            </w:r>
          </w:p>
        </w:tc>
        <w:tc>
          <w:tcPr>
            <w:tcW w:w="1831"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WFC</w:t>
            </w:r>
          </w:p>
        </w:tc>
        <w:tc>
          <w:tcPr>
            <w:tcW w:w="888"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2</w:t>
            </w:r>
          </w:p>
        </w:tc>
        <w:tc>
          <w:tcPr>
            <w:tcW w:w="1299"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32</w:t>
            </w:r>
          </w:p>
        </w:tc>
      </w:tr>
      <w:tr>
        <w:tblPrEx>
          <w:tblLayout w:type="fixed"/>
          <w:tblCellMar>
            <w:top w:w="0" w:type="dxa"/>
            <w:left w:w="108" w:type="dxa"/>
            <w:bottom w:w="0" w:type="dxa"/>
            <w:right w:w="108" w:type="dxa"/>
          </w:tblCellMar>
        </w:tblPrEx>
        <w:trPr>
          <w:trHeight w:val="0" w:hRule="atLeast"/>
          <w:jc w:val="center"/>
        </w:trPr>
        <w:tc>
          <w:tcPr>
            <w:tcW w:w="1242" w:type="dxa"/>
            <w:vMerge w:val="continue"/>
            <w:tcBorders>
              <w:top w:val="single" w:color="000000" w:sz="8"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200" w:line="276" w:lineRule="auto"/>
              <w:ind w:left="0" w:right="0" w:firstLine="0"/>
              <w:jc w:val="left"/>
              <w:rPr>
                <w:rFonts w:ascii="宋体" w:hAnsi="宋体" w:eastAsia="宋体" w:cs="宋体"/>
                <w:color w:val="auto"/>
                <w:spacing w:val="0"/>
                <w:position w:val="0"/>
                <w:sz w:val="22"/>
                <w:shd w:val="clear" w:fill="auto"/>
              </w:rPr>
            </w:pPr>
          </w:p>
        </w:tc>
        <w:tc>
          <w:tcPr>
            <w:tcW w:w="3827"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z w:val="22"/>
                <w:shd w:val="clear" w:fill="auto"/>
              </w:rPr>
            </w:pPr>
            <w:r>
              <w:rPr>
                <w:rFonts w:ascii="Times New Roman" w:hAnsi="Times New Roman" w:eastAsia="Times New Roman" w:cs="Times New Roman"/>
                <w:color w:val="auto"/>
                <w:spacing w:val="0"/>
                <w:position w:val="0"/>
                <w:sz w:val="22"/>
                <w:shd w:val="clear" w:fill="auto"/>
              </w:rPr>
              <w:t>Fishery legislation and administration</w:t>
            </w:r>
          </w:p>
        </w:tc>
        <w:tc>
          <w:tcPr>
            <w:tcW w:w="1831"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WFC</w:t>
            </w:r>
          </w:p>
        </w:tc>
        <w:tc>
          <w:tcPr>
            <w:tcW w:w="888"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2</w:t>
            </w:r>
          </w:p>
        </w:tc>
        <w:tc>
          <w:tcPr>
            <w:tcW w:w="1299"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32</w:t>
            </w:r>
          </w:p>
        </w:tc>
      </w:tr>
      <w:tr>
        <w:tblPrEx>
          <w:tblLayout w:type="fixed"/>
          <w:tblCellMar>
            <w:top w:w="0" w:type="dxa"/>
            <w:left w:w="108" w:type="dxa"/>
            <w:bottom w:w="0" w:type="dxa"/>
            <w:right w:w="108" w:type="dxa"/>
          </w:tblCellMar>
        </w:tblPrEx>
        <w:trPr>
          <w:trHeight w:val="0" w:hRule="atLeast"/>
          <w:jc w:val="center"/>
        </w:trPr>
        <w:tc>
          <w:tcPr>
            <w:tcW w:w="1242" w:type="dxa"/>
            <w:vMerge w:val="continue"/>
            <w:tcBorders>
              <w:top w:val="single" w:color="000000" w:sz="8"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200" w:line="276" w:lineRule="auto"/>
              <w:ind w:left="0" w:right="0" w:firstLine="0"/>
              <w:jc w:val="left"/>
              <w:rPr>
                <w:rFonts w:ascii="宋体" w:hAnsi="宋体" w:eastAsia="宋体" w:cs="宋体"/>
                <w:color w:val="auto"/>
                <w:spacing w:val="0"/>
                <w:position w:val="0"/>
                <w:sz w:val="22"/>
                <w:shd w:val="clear" w:fill="auto"/>
              </w:rPr>
            </w:pPr>
          </w:p>
        </w:tc>
        <w:tc>
          <w:tcPr>
            <w:tcW w:w="3827"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z w:val="22"/>
                <w:shd w:val="clear" w:fill="auto"/>
              </w:rPr>
            </w:pPr>
            <w:r>
              <w:rPr>
                <w:rFonts w:ascii="Times New Roman" w:hAnsi="Times New Roman" w:eastAsia="Times New Roman" w:cs="Times New Roman"/>
                <w:color w:val="auto"/>
                <w:spacing w:val="0"/>
                <w:position w:val="0"/>
                <w:sz w:val="22"/>
                <w:shd w:val="clear" w:fill="auto"/>
              </w:rPr>
              <w:t xml:space="preserve">Aquatic animal disease and control </w:t>
            </w:r>
          </w:p>
        </w:tc>
        <w:tc>
          <w:tcPr>
            <w:tcW w:w="1831"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WFC</w:t>
            </w:r>
          </w:p>
        </w:tc>
        <w:tc>
          <w:tcPr>
            <w:tcW w:w="888"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2</w:t>
            </w:r>
          </w:p>
        </w:tc>
        <w:tc>
          <w:tcPr>
            <w:tcW w:w="1299"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32</w:t>
            </w:r>
          </w:p>
        </w:tc>
      </w:tr>
      <w:tr>
        <w:tblPrEx>
          <w:tblLayout w:type="fixed"/>
          <w:tblCellMar>
            <w:top w:w="0" w:type="dxa"/>
            <w:left w:w="108" w:type="dxa"/>
            <w:bottom w:w="0" w:type="dxa"/>
            <w:right w:w="108" w:type="dxa"/>
          </w:tblCellMar>
        </w:tblPrEx>
        <w:trPr>
          <w:trHeight w:val="0" w:hRule="atLeast"/>
          <w:jc w:val="center"/>
        </w:trPr>
        <w:tc>
          <w:tcPr>
            <w:tcW w:w="1242" w:type="dxa"/>
            <w:vMerge w:val="continue"/>
            <w:tcBorders>
              <w:top w:val="single" w:color="000000" w:sz="8" w:space="0"/>
              <w:left w:val="single" w:color="000000" w:sz="6" w:space="0"/>
              <w:bottom w:val="single" w:color="000000" w:sz="8" w:space="0"/>
              <w:right w:val="single" w:color="000000" w:sz="8" w:space="0"/>
            </w:tcBorders>
            <w:shd w:val="clear" w:color="auto" w:fill="FFFFFF"/>
            <w:tcMar>
              <w:left w:w="10" w:type="dxa"/>
              <w:right w:w="10" w:type="dxa"/>
            </w:tcMar>
            <w:vAlign w:val="center"/>
          </w:tcPr>
          <w:p>
            <w:pPr>
              <w:spacing w:before="0" w:after="200" w:line="276" w:lineRule="auto"/>
              <w:ind w:left="0" w:right="0" w:firstLine="0"/>
              <w:jc w:val="left"/>
              <w:rPr>
                <w:rFonts w:ascii="宋体" w:hAnsi="宋体" w:eastAsia="宋体" w:cs="宋体"/>
                <w:color w:val="auto"/>
                <w:spacing w:val="0"/>
                <w:position w:val="0"/>
                <w:sz w:val="22"/>
                <w:shd w:val="clear" w:fill="auto"/>
              </w:rPr>
            </w:pPr>
          </w:p>
        </w:tc>
        <w:tc>
          <w:tcPr>
            <w:tcW w:w="3827"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z w:val="22"/>
                <w:shd w:val="clear" w:fill="auto"/>
              </w:rPr>
            </w:pPr>
            <w:r>
              <w:rPr>
                <w:rFonts w:ascii="Times New Roman" w:hAnsi="Times New Roman" w:eastAsia="Times New Roman" w:cs="Times New Roman"/>
                <w:color w:val="auto"/>
                <w:spacing w:val="0"/>
                <w:position w:val="0"/>
                <w:sz w:val="22"/>
                <w:shd w:val="clear" w:fill="auto"/>
              </w:rPr>
              <w:t>Fishery environment monitoring and protection</w:t>
            </w:r>
          </w:p>
        </w:tc>
        <w:tc>
          <w:tcPr>
            <w:tcW w:w="1831"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WFC</w:t>
            </w:r>
          </w:p>
        </w:tc>
        <w:tc>
          <w:tcPr>
            <w:tcW w:w="888"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2</w:t>
            </w:r>
          </w:p>
        </w:tc>
        <w:tc>
          <w:tcPr>
            <w:tcW w:w="1299" w:type="dxa"/>
            <w:tcBorders>
              <w:top w:val="single" w:color="000000" w:sz="6" w:space="0"/>
              <w:left w:val="single" w:color="000000" w:sz="6" w:space="0"/>
              <w:bottom w:val="single" w:color="000000" w:sz="6" w:space="0"/>
              <w:right w:val="single" w:color="000000" w:sz="8" w:space="0"/>
            </w:tcBorders>
            <w:shd w:val="clear" w:color="auto" w:fill="FFFFFF"/>
            <w:tcMar>
              <w:left w:w="10" w:type="dxa"/>
              <w:right w:w="10" w:type="dxa"/>
            </w:tcMar>
            <w:vAlign w:val="center"/>
          </w:tcPr>
          <w:p>
            <w:pPr>
              <w:spacing w:before="0" w:after="0" w:line="240" w:lineRule="auto"/>
              <w:ind w:left="0" w:right="0" w:firstLine="0"/>
              <w:jc w:val="center"/>
              <w:rPr>
                <w:color w:val="auto"/>
                <w:spacing w:val="0"/>
                <w:position w:val="0"/>
                <w:shd w:val="clear" w:fill="auto"/>
              </w:rPr>
            </w:pPr>
            <w:r>
              <w:rPr>
                <w:rFonts w:ascii="Times New Roman" w:hAnsi="Times New Roman" w:eastAsia="Times New Roman" w:cs="Times New Roman"/>
                <w:color w:val="auto"/>
                <w:spacing w:val="0"/>
                <w:position w:val="0"/>
                <w:sz w:val="24"/>
                <w:shd w:val="clear" w:fill="auto"/>
              </w:rPr>
              <w:t>32</w:t>
            </w:r>
          </w:p>
        </w:tc>
      </w:tr>
    </w:tbl>
    <w:p>
      <w:pPr>
        <w:numPr>
          <w:ilvl w:val="0"/>
          <w:numId w:val="16"/>
        </w:numPr>
        <w:spacing w:before="156" w:after="156" w:line="300" w:lineRule="auto"/>
        <w:ind w:left="357" w:right="0" w:hanging="357"/>
        <w:jc w:val="both"/>
        <w:rPr>
          <w:rFonts w:ascii="Times New Roman" w:hAnsi="Times New Roman" w:eastAsia="Times New Roman" w:cs="Times New Roman"/>
          <w:b/>
          <w:color w:val="auto"/>
          <w:spacing w:val="0"/>
          <w:position w:val="0"/>
          <w:sz w:val="24"/>
          <w:shd w:val="clear" w:fill="auto"/>
        </w:rPr>
      </w:pPr>
      <w:r>
        <w:rPr>
          <w:rFonts w:ascii="Times New Roman" w:hAnsi="Times New Roman" w:eastAsia="Times New Roman" w:cs="Times New Roman"/>
          <w:b/>
          <w:color w:val="auto"/>
          <w:spacing w:val="0"/>
          <w:position w:val="0"/>
          <w:sz w:val="24"/>
          <w:shd w:val="clear" w:fill="auto"/>
        </w:rPr>
        <w:t>Modes of teaching and evaluation</w:t>
      </w:r>
    </w:p>
    <w:p>
      <w:pPr>
        <w:spacing w:before="0" w:after="156" w:line="300" w:lineRule="auto"/>
        <w:ind w:left="0" w:right="0" w:firstLine="48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 xml:space="preserve">Well-known experts and professors were invited from both China and abroad who have solid theoretical and professional knowledge in fisheries, proficient communicating skills with English, and rich experiences in teaching practices. Different topics, related personnel from areas such as fishery administration, extension and demonstration, research and innovation, industry management, etc. will be integrated as thematic lectures for students. </w:t>
      </w:r>
    </w:p>
    <w:p>
      <w:pPr>
        <w:spacing w:before="0" w:after="156" w:line="300" w:lineRule="auto"/>
        <w:ind w:left="0" w:right="0" w:firstLine="48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English is the teaching and working language. The combination of theoretical knowledge and practices will be highly valued, and the courses will be carried out in forms of lectures, group discussion, practices and lab work, study tours, etc..</w:t>
      </w:r>
    </w:p>
    <w:p>
      <w:pPr>
        <w:spacing w:before="0" w:after="156" w:line="300" w:lineRule="auto"/>
        <w:ind w:left="0" w:right="0" w:firstLine="48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Evaluating methods: depending on the courses, the evaluation will be carried out in various forms such as examination and course presentation, etc..</w:t>
      </w:r>
    </w:p>
    <w:p>
      <w:pPr>
        <w:numPr>
          <w:ilvl w:val="0"/>
          <w:numId w:val="17"/>
        </w:numPr>
        <w:spacing w:before="0" w:after="156" w:line="300" w:lineRule="auto"/>
        <w:ind w:left="360" w:right="0" w:hanging="360"/>
        <w:jc w:val="both"/>
        <w:rPr>
          <w:rFonts w:ascii="Times New Roman" w:hAnsi="Times New Roman" w:eastAsia="Times New Roman" w:cs="Times New Roman"/>
          <w:b/>
          <w:color w:val="auto"/>
          <w:spacing w:val="0"/>
          <w:position w:val="0"/>
          <w:sz w:val="24"/>
          <w:shd w:val="clear" w:fill="auto"/>
        </w:rPr>
      </w:pPr>
      <w:r>
        <w:rPr>
          <w:rFonts w:ascii="Times New Roman" w:hAnsi="Times New Roman" w:eastAsia="Times New Roman" w:cs="Times New Roman"/>
          <w:b/>
          <w:color w:val="auto"/>
          <w:spacing w:val="0"/>
          <w:position w:val="0"/>
          <w:sz w:val="24"/>
          <w:shd w:val="clear" w:fill="auto"/>
        </w:rPr>
        <w:t>Dissertation and degree conferring</w:t>
      </w:r>
    </w:p>
    <w:p>
      <w:pPr>
        <w:numPr>
          <w:ilvl w:val="0"/>
          <w:numId w:val="17"/>
        </w:numPr>
        <w:spacing w:before="0" w:after="0" w:line="300" w:lineRule="auto"/>
        <w:ind w:left="840" w:right="0" w:hanging="420"/>
        <w:jc w:val="both"/>
        <w:rPr>
          <w:rFonts w:ascii="Times New Roman" w:hAnsi="Times New Roman" w:eastAsia="Times New Roman" w:cs="Times New Roman"/>
          <w:b/>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 xml:space="preserve">Supervisors for each student will be allocated in accordance to study interests, and they will instruct students’ research and dissertation writing. The topic of the dissertation should be closely related to professional fishery research and development practices. The dissertation could be various in forms, such as survey reports, research results, policy analyzing reports, fishery development proposals, etc., with no less than 15,000 words in English. </w:t>
      </w:r>
    </w:p>
    <w:p>
      <w:pPr>
        <w:numPr>
          <w:ilvl w:val="0"/>
          <w:numId w:val="17"/>
        </w:numPr>
        <w:spacing w:before="0" w:after="0" w:line="300" w:lineRule="auto"/>
        <w:ind w:left="840" w:right="0" w:hanging="42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Upon finishing the dissertation, students need to apply for dissertation review and defense. The defense panel members consist of fishery experts who were invited by the college thesis evaluation committee (usually with titles of or higher than MSc supervisor). Dissertation defense will be organized by the college.</w:t>
      </w:r>
    </w:p>
    <w:p>
      <w:pPr>
        <w:numPr>
          <w:ilvl w:val="0"/>
          <w:numId w:val="17"/>
        </w:numPr>
        <w:spacing w:before="0" w:after="156" w:line="300" w:lineRule="auto"/>
        <w:ind w:left="840" w:right="0" w:hanging="42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Those who have completed all credit hours, passed the practice training, dissertation defense and the review of NAU degree authorities, can be granted with Professional Master’s Degree in Fishery Science.</w:t>
      </w:r>
    </w:p>
    <w:p>
      <w:pPr>
        <w:spacing w:before="0" w:after="156" w:line="300" w:lineRule="auto"/>
        <w:ind w:left="0" w:right="0" w:firstLine="0"/>
        <w:jc w:val="both"/>
        <w:rPr>
          <w:rFonts w:ascii="Times New Roman" w:hAnsi="Times New Roman" w:eastAsia="Times New Roman" w:cs="Times New Roman"/>
          <w:b/>
          <w:color w:val="auto"/>
          <w:spacing w:val="0"/>
          <w:position w:val="0"/>
          <w:sz w:val="24"/>
          <w:shd w:val="clear" w:fill="auto"/>
        </w:rPr>
      </w:pPr>
      <w:r>
        <w:rPr>
          <w:rFonts w:ascii="Times New Roman" w:hAnsi="Times New Roman" w:eastAsia="Times New Roman" w:cs="Times New Roman"/>
          <w:b/>
          <w:color w:val="auto"/>
          <w:spacing w:val="0"/>
          <w:position w:val="0"/>
          <w:sz w:val="24"/>
          <w:shd w:val="clear" w:fill="auto"/>
        </w:rPr>
        <w:t>Part II. Application and Admission</w:t>
      </w:r>
    </w:p>
    <w:p>
      <w:pPr>
        <w:numPr>
          <w:ilvl w:val="0"/>
          <w:numId w:val="18"/>
        </w:numPr>
        <w:spacing w:before="0" w:after="156" w:line="300" w:lineRule="auto"/>
        <w:ind w:left="360" w:right="0" w:hanging="360"/>
        <w:jc w:val="both"/>
        <w:rPr>
          <w:rFonts w:ascii="Times New Roman" w:hAnsi="Times New Roman" w:eastAsia="Times New Roman" w:cs="Times New Roman"/>
          <w:b/>
          <w:color w:val="auto"/>
          <w:spacing w:val="0"/>
          <w:position w:val="0"/>
          <w:sz w:val="24"/>
          <w:shd w:val="clear" w:fill="auto"/>
        </w:rPr>
      </w:pPr>
      <w:r>
        <w:rPr>
          <w:rFonts w:ascii="Times New Roman" w:hAnsi="Times New Roman" w:eastAsia="Times New Roman" w:cs="Times New Roman"/>
          <w:b/>
          <w:color w:val="auto"/>
          <w:spacing w:val="0"/>
          <w:position w:val="0"/>
          <w:sz w:val="24"/>
          <w:shd w:val="clear" w:fill="auto"/>
        </w:rPr>
        <w:t>Materials needed to submit:</w:t>
      </w:r>
    </w:p>
    <w:p>
      <w:pPr>
        <w:spacing w:before="0" w:after="0" w:line="300" w:lineRule="auto"/>
        <w:ind w:left="0" w:right="0" w:firstLine="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 xml:space="preserve">(1) </w:t>
      </w:r>
      <w:r>
        <w:rPr>
          <w:rFonts w:ascii="Times New Roman" w:hAnsi="Times New Roman" w:eastAsia="Times New Roman" w:cs="Times New Roman"/>
          <w:i/>
          <w:color w:val="auto"/>
          <w:spacing w:val="0"/>
          <w:position w:val="0"/>
          <w:sz w:val="24"/>
          <w:shd w:val="clear" w:fill="auto"/>
        </w:rPr>
        <w:t>Application Form</w:t>
      </w: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Find it in the list of attached documents</w:t>
      </w:r>
      <w:r>
        <w:rPr>
          <w:rFonts w:ascii="宋体" w:hAnsi="宋体" w:eastAsia="宋体" w:cs="宋体"/>
          <w:color w:val="auto"/>
          <w:spacing w:val="0"/>
          <w:position w:val="0"/>
          <w:sz w:val="24"/>
          <w:shd w:val="clear" w:fill="auto"/>
        </w:rPr>
        <w:t>）</w:t>
      </w:r>
    </w:p>
    <w:p>
      <w:pPr>
        <w:spacing w:before="0" w:after="0" w:line="300" w:lineRule="auto"/>
        <w:ind w:left="0" w:right="0" w:firstLine="0"/>
        <w:jc w:val="both"/>
        <w:rPr>
          <w:rFonts w:ascii="Times New Roman" w:hAnsi="Times New Roman" w:eastAsia="Times New Roman" w:cs="Times New Roman"/>
          <w:i/>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 xml:space="preserve">(2) </w:t>
      </w:r>
      <w:r>
        <w:rPr>
          <w:rFonts w:ascii="Times New Roman" w:hAnsi="Times New Roman" w:eastAsia="Times New Roman" w:cs="Times New Roman"/>
          <w:i/>
          <w:color w:val="auto"/>
          <w:spacing w:val="0"/>
          <w:position w:val="0"/>
          <w:sz w:val="24"/>
          <w:shd w:val="clear" w:fill="auto"/>
        </w:rPr>
        <w:t>Physical Examination Record for Foreigner and Blood Test Report</w:t>
      </w:r>
    </w:p>
    <w:p>
      <w:pPr>
        <w:spacing w:before="0" w:after="0" w:line="300" w:lineRule="auto"/>
        <w:ind w:left="0" w:right="0" w:firstLine="72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 xml:space="preserve">According to China's quarantine regulations; foreign students whose study in China exceeds 6 months must submit the photocopies of Physical Examination Record for Foreigner and Blood Test Report in duplicates. Applicants' medical examinations must cover all the items in the Physical Examination Record for Foreigner taken by a public hospital with qualified test facilities. Incomplete records or those without a sealed photograph of the applicant are invalid. Since a completed physical record is effective only for six months from the date of examination, the applicants shall decide the date of taking the physical examination accordingly. If enrolled, the applicants shall bring the original copies of the records and blood test reports when they come to China. Applicants shall be responsible for all the consequences caused by any false results of their medical examinations. Those without the original copy or with incomplete forms shall take the examination again at their own expenses. </w:t>
      </w:r>
    </w:p>
    <w:p>
      <w:pPr>
        <w:spacing w:before="0" w:after="0" w:line="300" w:lineRule="auto"/>
        <w:ind w:left="0" w:right="0" w:firstLine="72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Physical Examination Record for Foreigner and Blood Test Report is available in the Chinese Embassy or the Chinese Consulate.</w:t>
      </w:r>
    </w:p>
    <w:p>
      <w:pPr>
        <w:spacing w:before="0" w:after="0" w:line="300" w:lineRule="auto"/>
        <w:ind w:left="0" w:right="0" w:firstLine="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 xml:space="preserve">(3) </w:t>
      </w:r>
      <w:r>
        <w:rPr>
          <w:rFonts w:ascii="Times New Roman" w:hAnsi="Times New Roman" w:eastAsia="Times New Roman" w:cs="Times New Roman"/>
          <w:i/>
          <w:color w:val="auto"/>
          <w:spacing w:val="0"/>
          <w:position w:val="0"/>
          <w:sz w:val="24"/>
          <w:shd w:val="clear" w:fill="auto"/>
        </w:rPr>
        <w:t>Highest diploma</w:t>
      </w:r>
      <w:r>
        <w:rPr>
          <w:rFonts w:ascii="Times New Roman" w:hAnsi="Times New Roman" w:eastAsia="Times New Roman" w:cs="Times New Roman"/>
          <w:color w:val="auto"/>
          <w:spacing w:val="0"/>
          <w:position w:val="0"/>
          <w:sz w:val="24"/>
          <w:shd w:val="clear" w:fill="auto"/>
        </w:rPr>
        <w:t xml:space="preserve"> (Bachelor’s or equal) and academic record/transcript  </w:t>
      </w:r>
    </w:p>
    <w:p>
      <w:pPr>
        <w:spacing w:before="0" w:after="0" w:line="300" w:lineRule="auto"/>
        <w:ind w:left="0" w:right="0" w:firstLine="72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Applicants shall submit one notarized photocopy of bachelor diploma, academic record and certified English translation. If you are university students, you shall also submit documents of being university students.</w:t>
      </w:r>
    </w:p>
    <w:p>
      <w:pPr>
        <w:spacing w:before="0" w:after="0" w:line="300" w:lineRule="auto"/>
        <w:ind w:left="0" w:right="0" w:firstLine="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 xml:space="preserve">(4) </w:t>
      </w:r>
      <w:r>
        <w:rPr>
          <w:rFonts w:ascii="Times New Roman" w:hAnsi="Times New Roman" w:eastAsia="Times New Roman" w:cs="Times New Roman"/>
          <w:i/>
          <w:color w:val="auto"/>
          <w:spacing w:val="0"/>
          <w:position w:val="0"/>
          <w:sz w:val="24"/>
          <w:shd w:val="clear" w:fill="auto"/>
        </w:rPr>
        <w:t>Thesis</w:t>
      </w:r>
      <w:r>
        <w:rPr>
          <w:rFonts w:ascii="Times New Roman" w:hAnsi="Times New Roman" w:eastAsia="Times New Roman" w:cs="Times New Roman"/>
          <w:color w:val="auto"/>
          <w:spacing w:val="0"/>
          <w:position w:val="0"/>
          <w:sz w:val="24"/>
          <w:shd w:val="clear" w:fill="auto"/>
        </w:rPr>
        <w:t xml:space="preserve"> Abstract, published research paper or research proposal</w:t>
      </w:r>
    </w:p>
    <w:p>
      <w:pPr>
        <w:spacing w:before="0" w:after="0" w:line="300" w:lineRule="auto"/>
        <w:ind w:left="0" w:right="0" w:firstLine="0"/>
        <w:jc w:val="both"/>
        <w:rPr>
          <w:rFonts w:ascii="Times New Roman" w:hAnsi="Times New Roman" w:eastAsia="Times New Roman" w:cs="Times New Roman"/>
          <w:i/>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 xml:space="preserve">(5) </w:t>
      </w:r>
      <w:r>
        <w:rPr>
          <w:rFonts w:ascii="Times New Roman" w:hAnsi="Times New Roman" w:eastAsia="Times New Roman" w:cs="Times New Roman"/>
          <w:i/>
          <w:color w:val="auto"/>
          <w:spacing w:val="0"/>
          <w:position w:val="0"/>
          <w:sz w:val="24"/>
          <w:shd w:val="clear" w:fill="auto"/>
        </w:rPr>
        <w:t>Recommendation letters</w:t>
      </w:r>
    </w:p>
    <w:p>
      <w:pPr>
        <w:spacing w:before="0" w:after="0" w:line="300" w:lineRule="auto"/>
        <w:ind w:left="0" w:right="0" w:firstLine="72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Applicants shall submit two recommendation letters from two professors or associate professors (or people holding equivalent academic titles).</w:t>
      </w:r>
    </w:p>
    <w:p>
      <w:pPr>
        <w:spacing w:before="0" w:after="0" w:line="300" w:lineRule="auto"/>
        <w:ind w:left="0" w:right="0" w:firstLine="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 xml:space="preserve">(6) A </w:t>
      </w:r>
      <w:r>
        <w:rPr>
          <w:rFonts w:ascii="Times New Roman" w:hAnsi="Times New Roman" w:eastAsia="Times New Roman" w:cs="Times New Roman"/>
          <w:i/>
          <w:color w:val="auto"/>
          <w:spacing w:val="0"/>
          <w:position w:val="0"/>
          <w:sz w:val="24"/>
          <w:shd w:val="clear" w:fill="auto"/>
        </w:rPr>
        <w:t>study or research plan</w:t>
      </w:r>
      <w:r>
        <w:rPr>
          <w:rFonts w:ascii="Times New Roman" w:hAnsi="Times New Roman" w:eastAsia="Times New Roman" w:cs="Times New Roman"/>
          <w:color w:val="auto"/>
          <w:spacing w:val="0"/>
          <w:position w:val="0"/>
          <w:sz w:val="24"/>
          <w:shd w:val="clear" w:fill="auto"/>
        </w:rPr>
        <w:t xml:space="preserve"> written in Chinese or in English with more than 500 words</w:t>
      </w:r>
    </w:p>
    <w:p>
      <w:pPr>
        <w:spacing w:before="0" w:after="0" w:line="300" w:lineRule="auto"/>
        <w:ind w:left="0" w:right="0" w:firstLine="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 xml:space="preserve">(7) </w:t>
      </w:r>
      <w:r>
        <w:rPr>
          <w:rFonts w:ascii="Times New Roman" w:hAnsi="Times New Roman" w:eastAsia="Times New Roman" w:cs="Times New Roman"/>
          <w:i/>
          <w:color w:val="auto"/>
          <w:spacing w:val="0"/>
          <w:position w:val="0"/>
          <w:sz w:val="24"/>
          <w:shd w:val="clear" w:fill="auto"/>
        </w:rPr>
        <w:t>Photocopy of passport</w:t>
      </w:r>
    </w:p>
    <w:p>
      <w:pPr>
        <w:spacing w:before="0" w:after="0" w:line="300" w:lineRule="auto"/>
        <w:ind w:left="0" w:right="0" w:firstLine="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 xml:space="preserve">(8) </w:t>
      </w:r>
      <w:r>
        <w:rPr>
          <w:rFonts w:ascii="Times New Roman" w:hAnsi="Times New Roman" w:eastAsia="Times New Roman" w:cs="Times New Roman"/>
          <w:i/>
          <w:color w:val="auto"/>
          <w:spacing w:val="0"/>
          <w:position w:val="0"/>
          <w:sz w:val="24"/>
          <w:shd w:val="clear" w:fill="auto"/>
        </w:rPr>
        <w:t>Photocopies of English language proficiency test results</w:t>
      </w:r>
      <w:r>
        <w:rPr>
          <w:rFonts w:ascii="Times New Roman" w:hAnsi="Times New Roman" w:eastAsia="Times New Roman" w:cs="Times New Roman"/>
          <w:color w:val="auto"/>
          <w:spacing w:val="0"/>
          <w:position w:val="0"/>
          <w:sz w:val="24"/>
          <w:shd w:val="clear" w:fill="auto"/>
        </w:rPr>
        <w:t xml:space="preserve"> (for applicants whose native language, official language and instruction media of tertiary education are not English).</w:t>
      </w:r>
    </w:p>
    <w:p>
      <w:pPr>
        <w:spacing w:before="0" w:after="156" w:line="300" w:lineRule="auto"/>
        <w:ind w:left="0" w:right="0" w:firstLine="0"/>
        <w:jc w:val="left"/>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b/>
          <w:color w:val="auto"/>
          <w:spacing w:val="0"/>
          <w:position w:val="0"/>
          <w:sz w:val="24"/>
          <w:shd w:val="clear" w:fill="auto"/>
        </w:rPr>
        <w:t>Note: Please note that the above application materials will not be returned whether the applicant is accepted or not.</w:t>
      </w:r>
    </w:p>
    <w:p>
      <w:pPr>
        <w:numPr>
          <w:ilvl w:val="0"/>
          <w:numId w:val="19"/>
        </w:numPr>
        <w:spacing w:before="0" w:after="156" w:line="300" w:lineRule="auto"/>
        <w:ind w:left="360" w:right="0" w:hanging="360"/>
        <w:jc w:val="both"/>
        <w:rPr>
          <w:rFonts w:ascii="Times New Roman" w:hAnsi="Times New Roman" w:eastAsia="Times New Roman" w:cs="Times New Roman"/>
          <w:b w:val="0"/>
          <w:bCs/>
          <w:color w:val="auto"/>
          <w:spacing w:val="0"/>
          <w:position w:val="0"/>
          <w:sz w:val="24"/>
          <w:shd w:val="clear" w:fill="auto"/>
        </w:rPr>
      </w:pPr>
      <w:r>
        <w:rPr>
          <w:rFonts w:ascii="Times New Roman" w:hAnsi="Times New Roman" w:eastAsia="Times New Roman" w:cs="Times New Roman"/>
          <w:b/>
          <w:color w:val="auto"/>
          <w:spacing w:val="0"/>
          <w:position w:val="0"/>
          <w:sz w:val="24"/>
          <w:shd w:val="clear" w:fill="auto"/>
        </w:rPr>
        <w:t xml:space="preserve">Deadline for application: </w:t>
      </w:r>
      <w:r>
        <w:rPr>
          <w:rFonts w:hint="eastAsia" w:ascii="Times New Roman" w:hAnsi="Times New Roman" w:eastAsia="宋体" w:cs="Times New Roman"/>
          <w:b w:val="0"/>
          <w:bCs/>
          <w:color w:val="auto"/>
          <w:spacing w:val="0"/>
          <w:position w:val="0"/>
          <w:sz w:val="24"/>
          <w:shd w:val="clear" w:fill="auto"/>
          <w:lang w:val="en-US" w:eastAsia="zh-CN"/>
        </w:rPr>
        <w:t>May</w:t>
      </w:r>
      <w:r>
        <w:rPr>
          <w:rFonts w:ascii="Times New Roman" w:hAnsi="Times New Roman" w:eastAsia="Times New Roman" w:cs="Times New Roman"/>
          <w:b w:val="0"/>
          <w:bCs/>
          <w:color w:val="auto"/>
          <w:spacing w:val="0"/>
          <w:position w:val="0"/>
          <w:sz w:val="24"/>
          <w:shd w:val="clear" w:fill="auto"/>
        </w:rPr>
        <w:t xml:space="preserve"> 3</w:t>
      </w:r>
      <w:r>
        <w:rPr>
          <w:rFonts w:hint="eastAsia" w:ascii="Times New Roman" w:hAnsi="Times New Roman" w:eastAsia="宋体" w:cs="Times New Roman"/>
          <w:b w:val="0"/>
          <w:bCs/>
          <w:color w:val="auto"/>
          <w:spacing w:val="0"/>
          <w:position w:val="0"/>
          <w:sz w:val="24"/>
          <w:shd w:val="clear" w:fill="auto"/>
          <w:lang w:val="en-US" w:eastAsia="zh-CN"/>
        </w:rPr>
        <w:t>1</w:t>
      </w:r>
      <w:r>
        <w:rPr>
          <w:rFonts w:ascii="Times New Roman" w:hAnsi="Times New Roman" w:eastAsia="Times New Roman" w:cs="Times New Roman"/>
          <w:b w:val="0"/>
          <w:bCs/>
          <w:color w:val="auto"/>
          <w:spacing w:val="0"/>
          <w:position w:val="0"/>
          <w:sz w:val="24"/>
          <w:shd w:val="clear" w:fill="auto"/>
        </w:rPr>
        <w:t>, 2016</w:t>
      </w:r>
    </w:p>
    <w:p>
      <w:pPr>
        <w:numPr>
          <w:ilvl w:val="0"/>
          <w:numId w:val="19"/>
        </w:numPr>
        <w:spacing w:before="0" w:after="156" w:line="300" w:lineRule="auto"/>
        <w:ind w:left="360" w:right="0" w:hanging="36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b/>
          <w:color w:val="auto"/>
          <w:spacing w:val="0"/>
          <w:position w:val="0"/>
          <w:sz w:val="24"/>
          <w:shd w:val="clear" w:fill="auto"/>
        </w:rPr>
        <w:t>Application channels:</w:t>
      </w:r>
      <w:r>
        <w:rPr>
          <w:rFonts w:ascii="Times New Roman" w:hAnsi="Times New Roman" w:eastAsia="Times New Roman" w:cs="Times New Roman"/>
          <w:color w:val="auto"/>
          <w:spacing w:val="0"/>
          <w:position w:val="0"/>
          <w:sz w:val="24"/>
          <w:shd w:val="clear" w:fill="auto"/>
        </w:rPr>
        <w:t xml:space="preserve"> Those who meet the above requirements need to submit the above application materials to the Economic and Commercial Counselor’s Office (ECC) of Chinese Embassy in their country, meanwhile, send the electronic copy to WFC (</w:t>
      </w:r>
      <w:r>
        <w:fldChar w:fldCharType="begin"/>
      </w:r>
      <w:r>
        <w:instrText xml:space="preserve"> HYPERLINK "mailto:liff@ffrc.cn" \h </w:instrText>
      </w:r>
      <w:r>
        <w:fldChar w:fldCharType="separate"/>
      </w:r>
      <w:r>
        <w:rPr>
          <w:rFonts w:ascii="Times New Roman" w:hAnsi="Times New Roman" w:eastAsia="Times New Roman" w:cs="Times New Roman"/>
          <w:color w:val="0000FF"/>
          <w:spacing w:val="0"/>
          <w:position w:val="0"/>
          <w:sz w:val="24"/>
          <w:u w:val="single"/>
          <w:shd w:val="clear" w:fill="auto"/>
        </w:rPr>
        <w:t>liff@ffrc.cn</w:t>
      </w:r>
      <w:r>
        <w:rPr>
          <w:rFonts w:ascii="Times New Roman" w:hAnsi="Times New Roman" w:eastAsia="Times New Roman" w:cs="Times New Roman"/>
          <w:color w:val="0000FF"/>
          <w:spacing w:val="0"/>
          <w:position w:val="0"/>
          <w:sz w:val="24"/>
          <w:u w:val="single"/>
          <w:shd w:val="clear" w:fill="auto"/>
        </w:rPr>
        <w:fldChar w:fldCharType="end"/>
      </w:r>
      <w:r>
        <w:rPr>
          <w:rFonts w:ascii="Times New Roman" w:hAnsi="Times New Roman" w:eastAsia="Times New Roman" w:cs="Times New Roman"/>
          <w:color w:val="auto"/>
          <w:spacing w:val="0"/>
          <w:position w:val="0"/>
          <w:sz w:val="24"/>
          <w:shd w:val="clear" w:fill="auto"/>
        </w:rPr>
        <w:t xml:space="preserve">, </w:t>
      </w:r>
      <w:r>
        <w:rPr>
          <w:rFonts w:ascii="Times New Roman" w:hAnsi="Times New Roman" w:eastAsia="Times New Roman" w:cs="Times New Roman"/>
          <w:color w:val="auto"/>
          <w:spacing w:val="0"/>
          <w:position w:val="0"/>
          <w:sz w:val="21"/>
          <w:shd w:val="clear" w:fill="auto"/>
        </w:rPr>
        <w:t>yuanxinhua@h</w:t>
      </w:r>
      <w:r>
        <w:rPr>
          <w:rFonts w:ascii="Times New Roman" w:hAnsi="Times New Roman" w:eastAsia="Times New Roman" w:cs="Times New Roman"/>
          <w:color w:val="auto"/>
          <w:spacing w:val="0"/>
          <w:position w:val="0"/>
          <w:sz w:val="24"/>
          <w:shd w:val="clear" w:fill="auto"/>
        </w:rPr>
        <w:t>otmail.com); the ECC will recommend and prioritize to the Ministry of Commerce and WFC for admission.</w:t>
      </w:r>
    </w:p>
    <w:p>
      <w:pPr>
        <w:numPr>
          <w:ilvl w:val="0"/>
          <w:numId w:val="19"/>
        </w:numPr>
        <w:spacing w:before="0" w:after="156" w:line="300" w:lineRule="auto"/>
        <w:ind w:left="360" w:right="0" w:hanging="360"/>
        <w:jc w:val="both"/>
        <w:rPr>
          <w:rFonts w:ascii="Times New Roman" w:hAnsi="Times New Roman" w:eastAsia="Times New Roman" w:cs="Times New Roman"/>
          <w:b/>
          <w:color w:val="auto"/>
          <w:spacing w:val="0"/>
          <w:position w:val="0"/>
          <w:sz w:val="24"/>
          <w:shd w:val="clear" w:fill="auto"/>
        </w:rPr>
      </w:pPr>
      <w:r>
        <w:rPr>
          <w:rFonts w:ascii="Times New Roman" w:hAnsi="Times New Roman" w:eastAsia="Times New Roman" w:cs="Times New Roman"/>
          <w:b/>
          <w:color w:val="auto"/>
          <w:spacing w:val="0"/>
          <w:position w:val="0"/>
          <w:sz w:val="24"/>
          <w:shd w:val="clear" w:fill="auto"/>
        </w:rPr>
        <w:t>Admission</w:t>
      </w:r>
    </w:p>
    <w:p>
      <w:pPr>
        <w:spacing w:before="0" w:after="156" w:line="300" w:lineRule="auto"/>
        <w:ind w:left="360" w:right="0" w:firstLine="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 xml:space="preserve">In accordance to the NAU requirements on international student admission for MSc program, WFC will examine the quality of all the applicants and proceed the admission. The admission results will be announced around August 20, 2016. </w:t>
      </w:r>
    </w:p>
    <w:p>
      <w:pPr>
        <w:numPr>
          <w:ilvl w:val="0"/>
          <w:numId w:val="20"/>
        </w:numPr>
        <w:spacing w:before="0" w:after="156" w:line="300" w:lineRule="auto"/>
        <w:ind w:left="360" w:right="0" w:hanging="360"/>
        <w:jc w:val="both"/>
        <w:rPr>
          <w:rFonts w:ascii="Times New Roman" w:hAnsi="Times New Roman" w:eastAsia="Times New Roman" w:cs="Times New Roman"/>
          <w:b/>
          <w:color w:val="auto"/>
          <w:spacing w:val="0"/>
          <w:position w:val="0"/>
          <w:sz w:val="24"/>
          <w:shd w:val="clear" w:fill="auto"/>
        </w:rPr>
      </w:pPr>
      <w:r>
        <w:rPr>
          <w:rFonts w:ascii="Times New Roman" w:hAnsi="Times New Roman" w:eastAsia="Times New Roman" w:cs="Times New Roman"/>
          <w:b/>
          <w:color w:val="auto"/>
          <w:spacing w:val="0"/>
          <w:position w:val="0"/>
          <w:sz w:val="24"/>
          <w:shd w:val="clear" w:fill="auto"/>
        </w:rPr>
        <w:t>Contacts</w:t>
      </w:r>
    </w:p>
    <w:p>
      <w:pPr>
        <w:spacing w:before="0" w:after="156" w:line="300" w:lineRule="auto"/>
        <w:ind w:left="360" w:right="0" w:firstLine="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Wuxi Fisheries College of Nanjing Agricultural University</w:t>
      </w:r>
    </w:p>
    <w:p>
      <w:pPr>
        <w:spacing w:before="0" w:after="156" w:line="300" w:lineRule="auto"/>
        <w:ind w:left="360" w:right="0" w:firstLine="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ADD:  No.9 East Shanshui Road, Binhu District, Wuxi, Jiangsu 214081, China</w:t>
      </w:r>
    </w:p>
    <w:p>
      <w:pPr>
        <w:spacing w:before="0" w:after="156" w:line="300" w:lineRule="auto"/>
        <w:ind w:left="360" w:right="0" w:firstLine="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Coordinator:  Ms. Li Feifan, Mr. ZHANG Lin, Prof. YUAN Xinhua</w:t>
      </w:r>
    </w:p>
    <w:p>
      <w:pPr>
        <w:spacing w:before="0" w:after="156" w:line="300" w:lineRule="auto"/>
        <w:ind w:left="360" w:right="0" w:firstLine="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TEL/FAX</w:t>
      </w: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 xml:space="preserve"> +86-510-85555796</w:t>
      </w:r>
    </w:p>
    <w:p>
      <w:pPr>
        <w:spacing w:before="0" w:after="156" w:line="300" w:lineRule="auto"/>
        <w:ind w:left="360" w:right="0" w:firstLine="0"/>
        <w:jc w:val="both"/>
        <w:rPr>
          <w:rFonts w:ascii="Times New Roman" w:hAnsi="Times New Roman" w:eastAsia="Times New Roman" w:cs="Times New Roman"/>
          <w:color w:val="0000FF"/>
          <w:spacing w:val="0"/>
          <w:position w:val="0"/>
          <w:sz w:val="24"/>
          <w:u w:val="single"/>
          <w:shd w:val="clear" w:fill="auto"/>
        </w:rPr>
      </w:pPr>
      <w:r>
        <w:rPr>
          <w:rFonts w:ascii="Times New Roman" w:hAnsi="Times New Roman" w:eastAsia="Times New Roman" w:cs="Times New Roman"/>
          <w:color w:val="auto"/>
          <w:spacing w:val="0"/>
          <w:position w:val="0"/>
          <w:sz w:val="24"/>
          <w:shd w:val="clear" w:fill="auto"/>
        </w:rPr>
        <w:t>EMAIL</w:t>
      </w:r>
      <w:r>
        <w:rPr>
          <w:rFonts w:ascii="宋体" w:hAnsi="宋体" w:eastAsia="宋体" w:cs="宋体"/>
          <w:color w:val="000000"/>
          <w:spacing w:val="0"/>
          <w:position w:val="0"/>
          <w:sz w:val="24"/>
          <w:shd w:val="clear" w:fill="auto"/>
        </w:rPr>
        <w:t>：</w:t>
      </w:r>
      <w:r>
        <w:rPr>
          <w:rFonts w:ascii="Times New Roman" w:hAnsi="Times New Roman" w:eastAsia="Times New Roman" w:cs="Times New Roman"/>
          <w:color w:val="000000"/>
          <w:spacing w:val="0"/>
          <w:position w:val="0"/>
          <w:sz w:val="24"/>
          <w:shd w:val="clear" w:fill="auto"/>
        </w:rPr>
        <w:t xml:space="preserve"> </w:t>
      </w:r>
      <w:r>
        <w:fldChar w:fldCharType="begin"/>
      </w:r>
      <w:r>
        <w:instrText xml:space="preserve"> HYPERLINK "mailto:liff@ffrc.cn" \h </w:instrText>
      </w:r>
      <w:r>
        <w:fldChar w:fldCharType="separate"/>
      </w:r>
      <w:r>
        <w:rPr>
          <w:rFonts w:ascii="Times New Roman" w:hAnsi="Times New Roman" w:eastAsia="Times New Roman" w:cs="Times New Roman"/>
          <w:color w:val="0000FF"/>
          <w:spacing w:val="0"/>
          <w:position w:val="0"/>
          <w:sz w:val="24"/>
          <w:u w:val="single"/>
          <w:shd w:val="clear" w:fill="auto"/>
        </w:rPr>
        <w:t>liff@ffrc.cn</w:t>
      </w:r>
      <w:r>
        <w:rPr>
          <w:rFonts w:ascii="Times New Roman" w:hAnsi="Times New Roman" w:eastAsia="Times New Roman" w:cs="Times New Roman"/>
          <w:color w:val="0000FF"/>
          <w:spacing w:val="0"/>
          <w:position w:val="0"/>
          <w:sz w:val="24"/>
          <w:u w:val="single"/>
          <w:shd w:val="clear" w:fill="auto"/>
        </w:rPr>
        <w:fldChar w:fldCharType="end"/>
      </w:r>
      <w:r>
        <w:rPr>
          <w:rFonts w:ascii="Times New Roman" w:hAnsi="Times New Roman" w:eastAsia="Times New Roman" w:cs="Times New Roman"/>
          <w:color w:val="000000"/>
          <w:spacing w:val="0"/>
          <w:position w:val="0"/>
          <w:sz w:val="24"/>
          <w:shd w:val="clear" w:fill="auto"/>
        </w:rPr>
        <w:t xml:space="preserve">; </w:t>
      </w:r>
      <w:r>
        <w:fldChar w:fldCharType="begin"/>
      </w:r>
      <w:r>
        <w:instrText xml:space="preserve"> HYPERLINK "mailto:zhangl@ffrc.cn" \h </w:instrText>
      </w:r>
      <w:r>
        <w:fldChar w:fldCharType="separate"/>
      </w:r>
      <w:r>
        <w:rPr>
          <w:rFonts w:ascii="Times New Roman" w:hAnsi="Times New Roman" w:eastAsia="Times New Roman" w:cs="Times New Roman"/>
          <w:color w:val="0000FF"/>
          <w:spacing w:val="0"/>
          <w:position w:val="0"/>
          <w:sz w:val="24"/>
          <w:u w:val="single"/>
          <w:shd w:val="clear" w:fill="auto"/>
        </w:rPr>
        <w:t>zhangl@ffrc.cn</w:t>
      </w:r>
      <w:r>
        <w:rPr>
          <w:rFonts w:ascii="Times New Roman" w:hAnsi="Times New Roman" w:eastAsia="Times New Roman" w:cs="Times New Roman"/>
          <w:color w:val="0000FF"/>
          <w:spacing w:val="0"/>
          <w:position w:val="0"/>
          <w:sz w:val="24"/>
          <w:u w:val="single"/>
          <w:shd w:val="clear" w:fill="auto"/>
        </w:rPr>
        <w:fldChar w:fldCharType="end"/>
      </w:r>
      <w:r>
        <w:rPr>
          <w:rFonts w:ascii="Times New Roman" w:hAnsi="Times New Roman" w:eastAsia="Times New Roman" w:cs="Times New Roman"/>
          <w:color w:val="000000"/>
          <w:spacing w:val="0"/>
          <w:position w:val="0"/>
          <w:sz w:val="24"/>
          <w:u w:val="single"/>
          <w:shd w:val="clear" w:fill="auto"/>
        </w:rPr>
        <w:t xml:space="preserve">; </w:t>
      </w:r>
      <w:r>
        <w:fldChar w:fldCharType="begin"/>
      </w:r>
      <w:r>
        <w:instrText xml:space="preserve"> HYPERLINK "mailto:yuanxinhua@hotmail.com" \h </w:instrText>
      </w:r>
      <w:r>
        <w:fldChar w:fldCharType="separate"/>
      </w:r>
      <w:r>
        <w:rPr>
          <w:rFonts w:ascii="Times New Roman" w:hAnsi="Times New Roman" w:eastAsia="Times New Roman" w:cs="Times New Roman"/>
          <w:color w:val="0000FF"/>
          <w:spacing w:val="0"/>
          <w:position w:val="0"/>
          <w:sz w:val="24"/>
          <w:u w:val="single"/>
          <w:shd w:val="clear" w:fill="auto"/>
        </w:rPr>
        <w:t>yuanx</w:t>
      </w:r>
      <w:r>
        <w:rPr>
          <w:rFonts w:ascii="Times New Roman" w:hAnsi="Times New Roman" w:eastAsia="Times New Roman" w:cs="Times New Roman"/>
          <w:vanish/>
          <w:color w:val="0000FF"/>
          <w:spacing w:val="0"/>
          <w:position w:val="0"/>
          <w:sz w:val="24"/>
          <w:u w:val="single"/>
          <w:shd w:val="clear" w:fill="auto"/>
        </w:rPr>
        <w:t>HYPERLINK "mailto:yuanxinhua@hotmail.com"</w:t>
      </w:r>
      <w:r>
        <w:rPr>
          <w:rFonts w:ascii="Times New Roman" w:hAnsi="Times New Roman" w:eastAsia="Times New Roman" w:cs="Times New Roman"/>
          <w:color w:val="0000FF"/>
          <w:spacing w:val="0"/>
          <w:position w:val="0"/>
          <w:sz w:val="24"/>
          <w:u w:val="single"/>
          <w:shd w:val="clear" w:fill="auto"/>
        </w:rPr>
        <w:t>in</w:t>
      </w:r>
      <w:r>
        <w:rPr>
          <w:rFonts w:ascii="Times New Roman" w:hAnsi="Times New Roman" w:eastAsia="Times New Roman" w:cs="Times New Roman"/>
          <w:vanish/>
          <w:color w:val="0000FF"/>
          <w:spacing w:val="0"/>
          <w:position w:val="0"/>
          <w:sz w:val="24"/>
          <w:u w:val="single"/>
          <w:shd w:val="clear" w:fill="auto"/>
        </w:rPr>
        <w:t>HYPERLINK "mailto:yuanxinhua@hotmail.com"</w:t>
      </w:r>
      <w:r>
        <w:rPr>
          <w:rFonts w:ascii="Times New Roman" w:hAnsi="Times New Roman" w:eastAsia="Times New Roman" w:cs="Times New Roman"/>
          <w:color w:val="0000FF"/>
          <w:spacing w:val="0"/>
          <w:position w:val="0"/>
          <w:sz w:val="24"/>
          <w:u w:val="single"/>
          <w:shd w:val="clear" w:fill="auto"/>
        </w:rPr>
        <w:t>h</w:t>
      </w:r>
      <w:r>
        <w:rPr>
          <w:rFonts w:ascii="Times New Roman" w:hAnsi="Times New Roman" w:eastAsia="Times New Roman" w:cs="Times New Roman"/>
          <w:vanish/>
          <w:color w:val="0000FF"/>
          <w:spacing w:val="0"/>
          <w:position w:val="0"/>
          <w:sz w:val="24"/>
          <w:u w:val="single"/>
          <w:shd w:val="clear" w:fill="auto"/>
        </w:rPr>
        <w:t>HYPERLINK "mailto:yuanxinhua@hotmail.com"</w:t>
      </w:r>
      <w:r>
        <w:rPr>
          <w:rFonts w:ascii="Times New Roman" w:hAnsi="Times New Roman" w:eastAsia="Times New Roman" w:cs="Times New Roman"/>
          <w:color w:val="0000FF"/>
          <w:spacing w:val="0"/>
          <w:position w:val="0"/>
          <w:sz w:val="24"/>
          <w:u w:val="single"/>
          <w:shd w:val="clear" w:fill="auto"/>
        </w:rPr>
        <w:t>ua</w:t>
      </w:r>
      <w:r>
        <w:rPr>
          <w:rFonts w:ascii="Times New Roman" w:hAnsi="Times New Roman" w:eastAsia="Times New Roman" w:cs="Times New Roman"/>
          <w:vanish/>
          <w:color w:val="0000FF"/>
          <w:spacing w:val="0"/>
          <w:position w:val="0"/>
          <w:sz w:val="24"/>
          <w:u w:val="single"/>
          <w:shd w:val="clear" w:fill="auto"/>
        </w:rPr>
        <w:t>HYPERLINK "mailto:yuanxinhua@hotmail.com"</w:t>
      </w:r>
      <w:r>
        <w:rPr>
          <w:rFonts w:ascii="Times New Roman" w:hAnsi="Times New Roman" w:eastAsia="Times New Roman" w:cs="Times New Roman"/>
          <w:color w:val="0000FF"/>
          <w:spacing w:val="0"/>
          <w:position w:val="0"/>
          <w:sz w:val="24"/>
          <w:u w:val="single"/>
          <w:shd w:val="clear" w:fill="auto"/>
        </w:rPr>
        <w:t>@hotmail.com</w:t>
      </w:r>
      <w:r>
        <w:rPr>
          <w:rFonts w:ascii="Times New Roman" w:hAnsi="Times New Roman" w:eastAsia="Times New Roman" w:cs="Times New Roman"/>
          <w:color w:val="0000FF"/>
          <w:spacing w:val="0"/>
          <w:position w:val="0"/>
          <w:sz w:val="24"/>
          <w:u w:val="single"/>
          <w:shd w:val="clear" w:fill="auto"/>
        </w:rPr>
        <w:fldChar w:fldCharType="end"/>
      </w:r>
    </w:p>
    <w:p>
      <w:pPr>
        <w:spacing w:before="0" w:after="156" w:line="300" w:lineRule="auto"/>
        <w:ind w:left="360" w:right="0" w:firstLine="0"/>
        <w:jc w:val="both"/>
        <w:rPr>
          <w:rFonts w:ascii="Times New Roman" w:hAnsi="Times New Roman" w:eastAsia="Times New Roman" w:cs="Times New Roman"/>
          <w:color w:val="0000FF"/>
          <w:spacing w:val="0"/>
          <w:position w:val="0"/>
          <w:sz w:val="24"/>
          <w:u w:val="single"/>
          <w:shd w:val="clear" w:fill="auto"/>
        </w:rPr>
      </w:pPr>
    </w:p>
    <w:p>
      <w:pPr>
        <w:spacing w:before="0" w:after="156" w:line="300" w:lineRule="auto"/>
        <w:ind w:left="360" w:right="0" w:firstLine="0"/>
        <w:jc w:val="both"/>
        <w:rPr>
          <w:rFonts w:ascii="Times New Roman" w:hAnsi="Times New Roman" w:eastAsia="Times New Roman" w:cs="Times New Roman"/>
          <w:color w:val="0000FF"/>
          <w:spacing w:val="0"/>
          <w:position w:val="0"/>
          <w:sz w:val="24"/>
          <w:u w:val="single"/>
          <w:shd w:val="clear" w:fill="auto"/>
        </w:rPr>
      </w:pPr>
    </w:p>
    <w:p>
      <w:pPr>
        <w:spacing w:before="0" w:after="156" w:line="300" w:lineRule="auto"/>
        <w:ind w:left="360" w:right="0" w:firstLine="0"/>
        <w:jc w:val="both"/>
        <w:rPr>
          <w:rFonts w:ascii="Times New Roman" w:hAnsi="Times New Roman" w:eastAsia="Times New Roman" w:cs="Times New Roman"/>
          <w:color w:val="0000FF"/>
          <w:spacing w:val="0"/>
          <w:position w:val="0"/>
          <w:sz w:val="24"/>
          <w:u w:val="single"/>
          <w:shd w:val="clear" w:fill="auto"/>
        </w:rPr>
      </w:pPr>
    </w:p>
    <w:p>
      <w:pPr>
        <w:spacing w:before="0" w:after="156" w:line="300" w:lineRule="auto"/>
        <w:ind w:left="360" w:right="0" w:firstLine="0"/>
        <w:jc w:val="both"/>
        <w:rPr>
          <w:rFonts w:ascii="Times New Roman" w:hAnsi="Times New Roman" w:eastAsia="Times New Roman" w:cs="Times New Roman"/>
          <w:color w:val="0000FF"/>
          <w:spacing w:val="0"/>
          <w:position w:val="0"/>
          <w:sz w:val="24"/>
          <w:u w:val="single"/>
          <w:shd w:val="clear" w:fill="auto"/>
        </w:rPr>
      </w:pPr>
    </w:p>
    <w:p>
      <w:pPr>
        <w:spacing w:before="0" w:after="156" w:line="300" w:lineRule="auto"/>
        <w:ind w:left="360" w:right="0" w:firstLine="0"/>
        <w:jc w:val="both"/>
        <w:rPr>
          <w:rFonts w:ascii="Times New Roman" w:hAnsi="Times New Roman" w:eastAsia="Times New Roman" w:cs="Times New Roman"/>
          <w:color w:val="0000FF"/>
          <w:spacing w:val="0"/>
          <w:position w:val="0"/>
          <w:sz w:val="24"/>
          <w:u w:val="single"/>
          <w:shd w:val="clear" w:fill="auto"/>
        </w:rPr>
      </w:pPr>
    </w:p>
    <w:p>
      <w:pPr>
        <w:spacing w:before="0" w:after="156" w:line="300" w:lineRule="auto"/>
        <w:ind w:left="360" w:right="0" w:firstLine="0"/>
        <w:jc w:val="both"/>
        <w:rPr>
          <w:rFonts w:ascii="Times New Roman" w:hAnsi="Times New Roman" w:eastAsia="Times New Roman" w:cs="Times New Roman"/>
          <w:color w:val="0000FF"/>
          <w:spacing w:val="0"/>
          <w:position w:val="0"/>
          <w:sz w:val="24"/>
          <w:u w:val="single"/>
          <w:shd w:val="clear" w:fill="auto"/>
        </w:rPr>
      </w:pPr>
    </w:p>
    <w:p>
      <w:pPr>
        <w:spacing w:before="0" w:after="156" w:line="300" w:lineRule="auto"/>
        <w:ind w:left="360" w:right="0" w:firstLine="0"/>
        <w:jc w:val="both"/>
        <w:rPr>
          <w:rFonts w:ascii="Times New Roman" w:hAnsi="Times New Roman" w:eastAsia="Times New Roman" w:cs="Times New Roman"/>
          <w:color w:val="0000FF"/>
          <w:spacing w:val="0"/>
          <w:position w:val="0"/>
          <w:sz w:val="24"/>
          <w:u w:val="single"/>
          <w:shd w:val="clear" w:fill="auto"/>
        </w:rPr>
      </w:pPr>
    </w:p>
    <w:p>
      <w:pPr>
        <w:spacing w:before="0" w:after="156" w:line="300" w:lineRule="auto"/>
        <w:ind w:left="360" w:right="0" w:firstLine="0"/>
        <w:jc w:val="both"/>
        <w:rPr>
          <w:rFonts w:ascii="Times New Roman" w:hAnsi="Times New Roman" w:eastAsia="Times New Roman" w:cs="Times New Roman"/>
          <w:color w:val="0000FF"/>
          <w:spacing w:val="0"/>
          <w:position w:val="0"/>
          <w:sz w:val="24"/>
          <w:u w:val="single"/>
          <w:shd w:val="clear" w:fill="auto"/>
        </w:rPr>
      </w:pPr>
    </w:p>
    <w:p>
      <w:pPr>
        <w:spacing w:before="0" w:after="156" w:line="300" w:lineRule="auto"/>
        <w:ind w:left="360" w:right="0" w:firstLine="0"/>
        <w:jc w:val="both"/>
        <w:rPr>
          <w:rFonts w:ascii="Times New Roman" w:hAnsi="Times New Roman" w:eastAsia="Times New Roman" w:cs="Times New Roman"/>
          <w:color w:val="0000FF"/>
          <w:spacing w:val="0"/>
          <w:position w:val="0"/>
          <w:sz w:val="24"/>
          <w:u w:val="single"/>
          <w:shd w:val="clear" w:fill="auto"/>
        </w:rPr>
      </w:pPr>
    </w:p>
    <w:p>
      <w:pPr>
        <w:spacing w:before="0" w:after="156" w:line="300" w:lineRule="auto"/>
        <w:ind w:left="360" w:right="0" w:firstLine="0"/>
        <w:jc w:val="both"/>
        <w:rPr>
          <w:rFonts w:ascii="Times New Roman" w:hAnsi="Times New Roman" w:eastAsia="Times New Roman" w:cs="Times New Roman"/>
          <w:color w:val="0000FF"/>
          <w:spacing w:val="0"/>
          <w:position w:val="0"/>
          <w:sz w:val="24"/>
          <w:u w:val="single"/>
          <w:shd w:val="clear" w:fill="auto"/>
        </w:rPr>
      </w:pPr>
    </w:p>
    <w:p>
      <w:pPr>
        <w:spacing w:before="0" w:after="156" w:line="300" w:lineRule="auto"/>
        <w:ind w:left="360" w:right="0" w:firstLine="0"/>
        <w:jc w:val="both"/>
        <w:rPr>
          <w:rFonts w:ascii="Times New Roman" w:hAnsi="Times New Roman" w:eastAsia="Times New Roman" w:cs="Times New Roman"/>
          <w:color w:val="0000FF"/>
          <w:spacing w:val="0"/>
          <w:position w:val="0"/>
          <w:sz w:val="24"/>
          <w:u w:val="single"/>
          <w:shd w:val="clear" w:fill="auto"/>
        </w:rPr>
      </w:pPr>
    </w:p>
    <w:p>
      <w:pPr>
        <w:spacing w:before="0" w:after="156" w:line="300" w:lineRule="auto"/>
        <w:ind w:left="360" w:right="0" w:firstLine="0"/>
        <w:jc w:val="both"/>
        <w:rPr>
          <w:rFonts w:ascii="Times New Roman" w:hAnsi="Times New Roman" w:eastAsia="Times New Roman" w:cs="Times New Roman"/>
          <w:color w:val="0000FF"/>
          <w:spacing w:val="0"/>
          <w:position w:val="0"/>
          <w:sz w:val="24"/>
          <w:u w:val="single"/>
          <w:shd w:val="clear" w:fill="auto"/>
        </w:rPr>
      </w:pPr>
      <w:bookmarkStart w:id="0" w:name="_GoBack"/>
      <w:bookmarkEnd w:id="0"/>
    </w:p>
    <w:p>
      <w:pPr>
        <w:spacing w:before="0" w:after="156" w:line="300" w:lineRule="auto"/>
        <w:ind w:left="360" w:right="0" w:firstLine="0"/>
        <w:jc w:val="both"/>
        <w:rPr>
          <w:rFonts w:ascii="Times New Roman" w:hAnsi="Times New Roman" w:eastAsia="Times New Roman" w:cs="Times New Roman"/>
          <w:b/>
          <w:color w:val="auto"/>
          <w:spacing w:val="0"/>
          <w:position w:val="0"/>
          <w:sz w:val="24"/>
          <w:shd w:val="clear" w:fill="auto"/>
        </w:rPr>
      </w:pPr>
    </w:p>
    <w:p>
      <w:pPr>
        <w:spacing w:before="0" w:after="0" w:line="240" w:lineRule="auto"/>
        <w:ind w:left="0" w:right="0" w:firstLine="0"/>
        <w:jc w:val="center"/>
        <w:rPr>
          <w:rFonts w:ascii="Times New Roman" w:hAnsi="Times New Roman" w:eastAsia="Times New Roman" w:cs="Times New Roman"/>
          <w:b/>
          <w:color w:val="auto"/>
          <w:spacing w:val="0"/>
          <w:position w:val="0"/>
          <w:sz w:val="24"/>
          <w:shd w:val="clear" w:fill="auto"/>
        </w:rPr>
      </w:pPr>
      <w:r>
        <w:pict>
          <v:shape id="rectole0000000000" o:spid="_x0000_s1026" o:spt="75" type="#_x0000_t75" style="height:60.7pt;width:60.7pt;" o:ole="t" filled="f" o:preferrelative="t" coordsize="21600,21600">
            <v:path/>
            <v:fill on="f" focussize="0,0"/>
            <v:stroke/>
            <v:imagedata r:id="rId5" o:title=""/>
            <o:lock v:ext="edit"/>
            <w10:wrap type="none"/>
            <w10:anchorlock/>
          </v:shape>
          <o:OLEObject Type="Embed" ProgID="StaticMetafile" ShapeID="rectole0000000000" DrawAspect="Content" ObjectID="_1468075725" r:id="rId4"/>
        </w:pict>
      </w:r>
      <w:r>
        <w:rPr>
          <w:rFonts w:ascii="宋体" w:hAnsi="宋体" w:eastAsia="宋体" w:cs="宋体"/>
          <w:color w:val="auto"/>
          <w:spacing w:val="0"/>
          <w:position w:val="0"/>
          <w:sz w:val="24"/>
          <w:shd w:val="clear" w:fill="auto"/>
        </w:rPr>
        <w:t xml:space="preserve">     </w:t>
      </w:r>
      <w:r>
        <w:pict>
          <v:shape id="rectole0000000001" o:spid="_x0000_s1027" o:spt="75" type="#_x0000_t75" style="height:62.75pt;width:265.2pt;" o:ole="t" filled="f" o:preferrelative="t" coordsize="21600,21600">
            <v:path/>
            <v:fill on="f" focussize="0,0"/>
            <v:stroke/>
            <v:imagedata r:id="rId7" o:title=""/>
            <o:lock v:ext="edit"/>
            <w10:wrap type="none"/>
            <w10:anchorlock/>
          </v:shape>
          <o:OLEObject Type="Embed" ProgID="StaticMetafile" ShapeID="rectole0000000001" DrawAspect="Content" ObjectID="_1468075726" r:id="rId6"/>
        </w:pict>
      </w:r>
    </w:p>
    <w:p>
      <w:pPr>
        <w:spacing w:before="0" w:after="0" w:line="240" w:lineRule="auto"/>
        <w:ind w:left="0" w:right="0" w:firstLine="0"/>
        <w:jc w:val="both"/>
        <w:rPr>
          <w:rFonts w:ascii="Times New Roman" w:hAnsi="Times New Roman" w:eastAsia="Times New Roman" w:cs="Times New Roman"/>
          <w:b/>
          <w:color w:val="auto"/>
          <w:spacing w:val="0"/>
          <w:position w:val="0"/>
          <w:sz w:val="24"/>
          <w:shd w:val="clear" w:fill="auto"/>
        </w:rPr>
      </w:pPr>
      <w:r>
        <w:rPr>
          <w:rFonts w:ascii="Times New Roman" w:hAnsi="Times New Roman" w:eastAsia="Times New Roman" w:cs="Times New Roman"/>
          <w:b/>
          <w:color w:val="auto"/>
          <w:spacing w:val="0"/>
          <w:position w:val="0"/>
          <w:sz w:val="24"/>
          <w:shd w:val="clear" w:fill="auto"/>
        </w:rPr>
        <w:t xml:space="preserve"> </w:t>
      </w:r>
    </w:p>
    <w:p>
      <w:pPr>
        <w:spacing w:before="0" w:after="0" w:line="240" w:lineRule="auto"/>
        <w:ind w:left="0" w:right="0" w:firstLine="0"/>
        <w:jc w:val="center"/>
        <w:rPr>
          <w:rFonts w:ascii="Times New Roman" w:hAnsi="Times New Roman" w:eastAsia="Times New Roman" w:cs="Times New Roman"/>
          <w:color w:val="auto"/>
          <w:spacing w:val="0"/>
          <w:position w:val="0"/>
          <w:sz w:val="28"/>
          <w:shd w:val="clear" w:fill="auto"/>
        </w:rPr>
      </w:pPr>
      <w:r>
        <w:rPr>
          <w:rFonts w:ascii="Times New Roman" w:hAnsi="Times New Roman" w:eastAsia="Times New Roman" w:cs="Times New Roman"/>
          <w:b/>
          <w:color w:val="auto"/>
          <w:spacing w:val="0"/>
          <w:position w:val="0"/>
          <w:sz w:val="28"/>
          <w:shd w:val="clear" w:fill="auto"/>
        </w:rPr>
        <w:t>Application Form for Foreign Students</w:t>
      </w:r>
    </w:p>
    <w:tbl>
      <w:tblPr>
        <w:tblStyle w:val="3"/>
        <w:tblW w:w="14102" w:type="dxa"/>
        <w:jc w:val="center"/>
        <w:tblInd w:w="0" w:type="dxa"/>
        <w:tblLayout w:type="fixed"/>
        <w:tblCellMar>
          <w:top w:w="0" w:type="dxa"/>
          <w:left w:w="108" w:type="dxa"/>
          <w:bottom w:w="0" w:type="dxa"/>
          <w:right w:w="108" w:type="dxa"/>
        </w:tblCellMar>
      </w:tblPr>
      <w:tblGrid>
        <w:gridCol w:w="1800"/>
        <w:gridCol w:w="1362"/>
        <w:gridCol w:w="1902"/>
        <w:gridCol w:w="1546"/>
        <w:gridCol w:w="1440"/>
        <w:gridCol w:w="1764"/>
        <w:gridCol w:w="4288"/>
      </w:tblGrid>
      <w:tr>
        <w:tblPrEx>
          <w:tblLayout w:type="fixed"/>
          <w:tblCellMar>
            <w:top w:w="0" w:type="dxa"/>
            <w:left w:w="108" w:type="dxa"/>
            <w:bottom w:w="0" w:type="dxa"/>
            <w:right w:w="108" w:type="dxa"/>
          </w:tblCellMar>
        </w:tblPrEx>
        <w:trPr>
          <w:cantSplit/>
          <w:trHeight w:val="0" w:hRule="atLeast"/>
          <w:jc w:val="center"/>
        </w:trPr>
        <w:tc>
          <w:tcPr>
            <w:tcW w:w="31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color w:val="auto"/>
                <w:spacing w:val="0"/>
                <w:position w:val="0"/>
                <w:shd w:val="clear" w:fill="auto"/>
              </w:rPr>
            </w:pPr>
            <w:r>
              <w:rPr>
                <w:rFonts w:ascii="Times New Roman" w:hAnsi="Times New Roman" w:eastAsia="Times New Roman" w:cs="Times New Roman"/>
                <w:color w:val="auto"/>
                <w:spacing w:val="0"/>
                <w:position w:val="0"/>
                <w:sz w:val="21"/>
                <w:shd w:val="clear" w:fill="auto"/>
              </w:rPr>
              <w:t xml:space="preserve">Given Name </w:t>
            </w:r>
          </w:p>
        </w:tc>
        <w:tc>
          <w:tcPr>
            <w:tcW w:w="3448"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color w:val="auto"/>
                <w:spacing w:val="0"/>
                <w:position w:val="0"/>
                <w:shd w:val="clear" w:fill="auto"/>
              </w:rPr>
            </w:pPr>
            <w:r>
              <w:rPr>
                <w:rFonts w:ascii="Times New Roman" w:hAnsi="Times New Roman" w:eastAsia="Times New Roman" w:cs="Times New Roman"/>
                <w:color w:val="auto"/>
                <w:spacing w:val="0"/>
                <w:position w:val="0"/>
                <w:sz w:val="21"/>
                <w:shd w:val="clear" w:fill="auto"/>
              </w:rPr>
              <w:t>Surname</w:t>
            </w:r>
          </w:p>
        </w:tc>
        <w:tc>
          <w:tcPr>
            <w:tcW w:w="605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Layout w:type="fixed"/>
          <w:tblCellMar>
            <w:top w:w="0" w:type="dxa"/>
            <w:left w:w="108" w:type="dxa"/>
            <w:bottom w:w="0" w:type="dxa"/>
            <w:right w:w="108" w:type="dxa"/>
          </w:tblCellMar>
        </w:tblPrEx>
        <w:trPr>
          <w:trHeight w:val="0" w:hRule="atLeast"/>
          <w:jc w:val="center"/>
        </w:trPr>
        <w:tc>
          <w:tcPr>
            <w:tcW w:w="31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color w:val="auto"/>
                <w:spacing w:val="0"/>
                <w:position w:val="0"/>
                <w:shd w:val="clear" w:fill="auto"/>
              </w:rPr>
            </w:pPr>
            <w:r>
              <w:rPr>
                <w:rFonts w:ascii="Times New Roman" w:hAnsi="Times New Roman" w:eastAsia="Times New Roman" w:cs="Times New Roman"/>
                <w:color w:val="auto"/>
                <w:spacing w:val="0"/>
                <w:position w:val="0"/>
                <w:sz w:val="21"/>
                <w:shd w:val="clear" w:fill="auto"/>
              </w:rPr>
              <w:t>Nationality</w:t>
            </w:r>
          </w:p>
        </w:tc>
        <w:tc>
          <w:tcPr>
            <w:tcW w:w="1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298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color w:val="auto"/>
                <w:spacing w:val="0"/>
                <w:position w:val="0"/>
                <w:shd w:val="clear" w:fill="auto"/>
              </w:rPr>
            </w:pPr>
            <w:r>
              <w:rPr>
                <w:rFonts w:ascii="Times New Roman" w:hAnsi="Times New Roman" w:eastAsia="Times New Roman" w:cs="Times New Roman"/>
                <w:color w:val="auto"/>
                <w:spacing w:val="0"/>
                <w:position w:val="0"/>
                <w:sz w:val="21"/>
                <w:shd w:val="clear" w:fill="auto"/>
              </w:rPr>
              <w:t>Sex</w:t>
            </w:r>
          </w:p>
        </w:tc>
        <w:tc>
          <w:tcPr>
            <w:tcW w:w="605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Layout w:type="fixed"/>
          <w:tblCellMar>
            <w:top w:w="0" w:type="dxa"/>
            <w:left w:w="108" w:type="dxa"/>
            <w:bottom w:w="0" w:type="dxa"/>
            <w:right w:w="108" w:type="dxa"/>
          </w:tblCellMar>
        </w:tblPrEx>
        <w:trPr>
          <w:trHeight w:val="0" w:hRule="atLeast"/>
          <w:jc w:val="center"/>
        </w:trPr>
        <w:tc>
          <w:tcPr>
            <w:tcW w:w="31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color w:val="auto"/>
                <w:spacing w:val="0"/>
                <w:position w:val="0"/>
                <w:shd w:val="clear" w:fill="auto"/>
              </w:rPr>
            </w:pPr>
            <w:r>
              <w:rPr>
                <w:rFonts w:ascii="Times New Roman" w:hAnsi="Times New Roman" w:eastAsia="Times New Roman" w:cs="Times New Roman"/>
                <w:color w:val="auto"/>
                <w:spacing w:val="0"/>
                <w:position w:val="0"/>
                <w:sz w:val="21"/>
                <w:shd w:val="clear" w:fill="auto"/>
              </w:rPr>
              <w:t>Religion</w:t>
            </w:r>
          </w:p>
        </w:tc>
        <w:tc>
          <w:tcPr>
            <w:tcW w:w="1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9038" w:type="dxa"/>
            <w:gridSpan w:val="4"/>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color w:val="auto"/>
                <w:spacing w:val="0"/>
                <w:position w:val="0"/>
                <w:shd w:val="clear" w:fill="auto"/>
              </w:rPr>
            </w:pPr>
            <w:r>
              <w:rPr>
                <w:rFonts w:ascii="Times New Roman" w:hAnsi="Times New Roman" w:eastAsia="Times New Roman" w:cs="Times New Roman"/>
                <w:color w:val="auto"/>
                <w:spacing w:val="0"/>
                <w:position w:val="0"/>
                <w:sz w:val="21"/>
                <w:shd w:val="clear" w:fill="auto"/>
              </w:rPr>
              <w:t>Married</w:t>
            </w:r>
          </w:p>
        </w:tc>
      </w:tr>
      <w:tr>
        <w:tblPrEx>
          <w:tblLayout w:type="fixed"/>
          <w:tblCellMar>
            <w:top w:w="0" w:type="dxa"/>
            <w:left w:w="108" w:type="dxa"/>
            <w:bottom w:w="0" w:type="dxa"/>
            <w:right w:w="108" w:type="dxa"/>
          </w:tblCellMar>
        </w:tblPrEx>
        <w:trPr>
          <w:trHeight w:val="0" w:hRule="atLeast"/>
          <w:jc w:val="center"/>
        </w:trPr>
        <w:tc>
          <w:tcPr>
            <w:tcW w:w="31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color w:val="auto"/>
                <w:spacing w:val="0"/>
                <w:position w:val="0"/>
                <w:shd w:val="clear" w:fill="auto"/>
              </w:rPr>
            </w:pPr>
            <w:r>
              <w:rPr>
                <w:rFonts w:ascii="Times New Roman" w:hAnsi="Times New Roman" w:eastAsia="Times New Roman" w:cs="Times New Roman"/>
                <w:color w:val="auto"/>
                <w:spacing w:val="0"/>
                <w:position w:val="0"/>
                <w:sz w:val="21"/>
                <w:shd w:val="clear" w:fill="auto"/>
              </w:rPr>
              <w:t>Passport Number</w:t>
            </w:r>
          </w:p>
        </w:tc>
        <w:tc>
          <w:tcPr>
            <w:tcW w:w="1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9038" w:type="dxa"/>
            <w:gridSpan w:val="4"/>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color w:val="auto"/>
                <w:spacing w:val="0"/>
                <w:position w:val="0"/>
                <w:shd w:val="clear" w:fill="auto"/>
              </w:rPr>
            </w:pPr>
            <w:r>
              <w:rPr>
                <w:rFonts w:ascii="Times New Roman" w:hAnsi="Times New Roman" w:eastAsia="Times New Roman" w:cs="Times New Roman"/>
                <w:color w:val="auto"/>
                <w:spacing w:val="0"/>
                <w:position w:val="0"/>
                <w:sz w:val="21"/>
                <w:shd w:val="clear" w:fill="auto"/>
              </w:rPr>
              <w:t>Valid Until</w:t>
            </w:r>
          </w:p>
        </w:tc>
      </w:tr>
      <w:tr>
        <w:tblPrEx>
          <w:tblLayout w:type="fixed"/>
          <w:tblCellMar>
            <w:top w:w="0" w:type="dxa"/>
            <w:left w:w="108" w:type="dxa"/>
            <w:bottom w:w="0" w:type="dxa"/>
            <w:right w:w="108" w:type="dxa"/>
          </w:tblCellMar>
        </w:tblPrEx>
        <w:trPr>
          <w:trHeight w:val="0" w:hRule="atLeast"/>
          <w:jc w:val="center"/>
        </w:trPr>
        <w:tc>
          <w:tcPr>
            <w:tcW w:w="31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color w:val="auto"/>
                <w:spacing w:val="0"/>
                <w:position w:val="0"/>
                <w:shd w:val="clear" w:fill="auto"/>
              </w:rPr>
            </w:pPr>
            <w:r>
              <w:rPr>
                <w:rFonts w:ascii="Times New Roman" w:hAnsi="Times New Roman" w:eastAsia="Times New Roman" w:cs="Times New Roman"/>
                <w:color w:val="auto"/>
                <w:spacing w:val="0"/>
                <w:position w:val="0"/>
                <w:sz w:val="21"/>
                <w:shd w:val="clear" w:fill="auto"/>
              </w:rPr>
              <w:t>Date of Birth</w:t>
            </w:r>
          </w:p>
        </w:tc>
        <w:tc>
          <w:tcPr>
            <w:tcW w:w="1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750"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color w:val="auto"/>
                <w:spacing w:val="0"/>
                <w:position w:val="0"/>
                <w:shd w:val="clear" w:fill="auto"/>
              </w:rPr>
            </w:pPr>
            <w:r>
              <w:rPr>
                <w:rFonts w:ascii="Times New Roman" w:hAnsi="Times New Roman" w:eastAsia="Times New Roman" w:cs="Times New Roman"/>
                <w:color w:val="auto"/>
                <w:spacing w:val="0"/>
                <w:position w:val="0"/>
                <w:sz w:val="21"/>
                <w:shd w:val="clear" w:fill="auto"/>
              </w:rPr>
              <w:t>Place of Birth</w:t>
            </w:r>
          </w:p>
        </w:tc>
        <w:tc>
          <w:tcPr>
            <w:tcW w:w="42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center"/>
              <w:rPr>
                <w:rFonts w:ascii="宋体" w:hAnsi="宋体" w:eastAsia="宋体" w:cs="宋体"/>
                <w:color w:val="auto"/>
                <w:spacing w:val="0"/>
                <w:position w:val="0"/>
                <w:sz w:val="22"/>
                <w:shd w:val="clear" w:fill="auto"/>
              </w:rPr>
            </w:pPr>
          </w:p>
        </w:tc>
      </w:tr>
      <w:tr>
        <w:tblPrEx>
          <w:tblLayout w:type="fixed"/>
          <w:tblCellMar>
            <w:top w:w="0" w:type="dxa"/>
            <w:left w:w="108" w:type="dxa"/>
            <w:bottom w:w="0" w:type="dxa"/>
            <w:right w:w="108" w:type="dxa"/>
          </w:tblCellMar>
        </w:tblPrEx>
        <w:trPr>
          <w:trHeight w:val="0" w:hRule="atLeast"/>
          <w:jc w:val="center"/>
        </w:trPr>
        <w:tc>
          <w:tcPr>
            <w:tcW w:w="316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both"/>
              <w:rPr>
                <w:color w:val="auto"/>
                <w:spacing w:val="0"/>
                <w:position w:val="0"/>
                <w:shd w:val="clear" w:fill="auto"/>
              </w:rPr>
            </w:pPr>
            <w:r>
              <w:rPr>
                <w:rFonts w:ascii="Times New Roman" w:hAnsi="Times New Roman" w:eastAsia="Times New Roman" w:cs="Times New Roman"/>
                <w:color w:val="auto"/>
                <w:spacing w:val="0"/>
                <w:position w:val="0"/>
                <w:sz w:val="21"/>
                <w:shd w:val="clear" w:fill="auto"/>
              </w:rPr>
              <w:t>Postal address and e-mail address</w:t>
            </w:r>
          </w:p>
        </w:tc>
        <w:tc>
          <w:tcPr>
            <w:tcW w:w="10940"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0" w:after="0" w:line="240" w:lineRule="auto"/>
              <w:ind w:left="0" w:right="0" w:firstLine="0"/>
              <w:jc w:val="left"/>
              <w:rPr>
                <w:rFonts w:ascii="宋体" w:hAnsi="宋体" w:eastAsia="宋体" w:cs="宋体"/>
                <w:color w:val="auto"/>
                <w:spacing w:val="0"/>
                <w:position w:val="0"/>
                <w:sz w:val="22"/>
                <w:shd w:val="clear" w:fill="auto"/>
              </w:rPr>
            </w:pPr>
          </w:p>
        </w:tc>
      </w:tr>
      <w:tr>
        <w:tblPrEx>
          <w:tblLayout w:type="fixed"/>
          <w:tblCellMar>
            <w:top w:w="0" w:type="dxa"/>
            <w:left w:w="108" w:type="dxa"/>
            <w:bottom w:w="0" w:type="dxa"/>
            <w:right w:w="108" w:type="dxa"/>
          </w:tblCellMar>
        </w:tblPrEx>
        <w:trPr>
          <w:trHeight w:val="1" w:hRule="atLeast"/>
          <w:jc w:val="center"/>
        </w:trPr>
        <w:tc>
          <w:tcPr>
            <w:tcW w:w="14102"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360" w:lineRule="auto"/>
              <w:ind w:left="0" w:right="0" w:firstLine="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Education   </w:t>
            </w:r>
          </w:p>
          <w:p>
            <w:pPr>
              <w:spacing w:before="0" w:after="0" w:line="360" w:lineRule="auto"/>
              <w:ind w:left="0" w:right="0" w:firstLine="180"/>
              <w:jc w:val="both"/>
              <w:rPr>
                <w:rFonts w:ascii="Times New Roman" w:hAnsi="Times New Roman" w:eastAsia="Times New Roman" w:cs="Times New Roman"/>
                <w:color w:val="auto"/>
                <w:spacing w:val="0"/>
                <w:position w:val="0"/>
                <w:sz w:val="18"/>
                <w:shd w:val="clear" w:fill="auto"/>
              </w:rPr>
            </w:pPr>
            <w:r>
              <w:rPr>
                <w:rFonts w:ascii="Times New Roman" w:hAnsi="Times New Roman" w:eastAsia="Times New Roman" w:cs="Times New Roman"/>
                <w:color w:val="auto"/>
                <w:spacing w:val="0"/>
                <w:position w:val="0"/>
                <w:sz w:val="18"/>
                <w:shd w:val="clear" w:fill="auto"/>
              </w:rPr>
              <w:t xml:space="preserve">Institution                            </w:t>
            </w:r>
          </w:p>
          <w:p>
            <w:pPr>
              <w:spacing w:before="0" w:after="0" w:line="360" w:lineRule="auto"/>
              <w:ind w:left="0" w:right="0" w:firstLine="180"/>
              <w:jc w:val="both"/>
              <w:rPr>
                <w:rFonts w:ascii="Times New Roman" w:hAnsi="Times New Roman" w:eastAsia="Times New Roman" w:cs="Times New Roman"/>
                <w:color w:val="auto"/>
                <w:spacing w:val="0"/>
                <w:position w:val="0"/>
                <w:sz w:val="18"/>
                <w:shd w:val="clear" w:fill="auto"/>
              </w:rPr>
            </w:pPr>
            <w:r>
              <w:rPr>
                <w:rFonts w:ascii="Times New Roman" w:hAnsi="Times New Roman" w:eastAsia="Times New Roman" w:cs="Times New Roman"/>
                <w:color w:val="auto"/>
                <w:spacing w:val="0"/>
                <w:position w:val="0"/>
                <w:sz w:val="18"/>
                <w:shd w:val="clear" w:fill="auto"/>
              </w:rPr>
              <w:t>Years Attended (from</w:t>
            </w:r>
            <w:r>
              <w:rPr>
                <w:rFonts w:ascii="宋体" w:hAnsi="宋体" w:eastAsia="宋体" w:cs="宋体"/>
                <w:color w:val="auto"/>
                <w:spacing w:val="0"/>
                <w:position w:val="0"/>
                <w:sz w:val="18"/>
                <w:shd w:val="clear" w:fill="auto"/>
              </w:rPr>
              <w:t>…</w:t>
            </w:r>
            <w:r>
              <w:rPr>
                <w:rFonts w:ascii="Times New Roman" w:hAnsi="Times New Roman" w:eastAsia="Times New Roman" w:cs="Times New Roman"/>
                <w:color w:val="auto"/>
                <w:spacing w:val="0"/>
                <w:position w:val="0"/>
                <w:sz w:val="18"/>
                <w:shd w:val="clear" w:fill="auto"/>
              </w:rPr>
              <w:t>to</w:t>
            </w:r>
            <w:r>
              <w:rPr>
                <w:rFonts w:ascii="宋体" w:hAnsi="宋体" w:eastAsia="宋体" w:cs="宋体"/>
                <w:color w:val="auto"/>
                <w:spacing w:val="0"/>
                <w:position w:val="0"/>
                <w:sz w:val="18"/>
                <w:shd w:val="clear" w:fill="auto"/>
              </w:rPr>
              <w:t>…</w:t>
            </w:r>
            <w:r>
              <w:rPr>
                <w:rFonts w:ascii="Times New Roman" w:hAnsi="Times New Roman" w:eastAsia="Times New Roman" w:cs="Times New Roman"/>
                <w:color w:val="auto"/>
                <w:spacing w:val="0"/>
                <w:position w:val="0"/>
                <w:sz w:val="18"/>
                <w:shd w:val="clear" w:fill="auto"/>
              </w:rPr>
              <w:t xml:space="preserve">)  </w:t>
            </w:r>
          </w:p>
          <w:p>
            <w:pPr>
              <w:spacing w:before="0" w:after="0" w:line="360" w:lineRule="auto"/>
              <w:ind w:left="0" w:right="0" w:firstLine="180"/>
              <w:jc w:val="both"/>
              <w:rPr>
                <w:rFonts w:ascii="Times New Roman" w:hAnsi="Times New Roman" w:eastAsia="Times New Roman" w:cs="Times New Roman"/>
                <w:color w:val="auto"/>
                <w:spacing w:val="0"/>
                <w:position w:val="0"/>
                <w:sz w:val="18"/>
                <w:shd w:val="clear" w:fill="auto"/>
              </w:rPr>
            </w:pPr>
            <w:r>
              <w:rPr>
                <w:rFonts w:ascii="Times New Roman" w:hAnsi="Times New Roman" w:eastAsia="Times New Roman" w:cs="Times New Roman"/>
                <w:color w:val="auto"/>
                <w:spacing w:val="0"/>
                <w:position w:val="0"/>
                <w:sz w:val="18"/>
                <w:shd w:val="clear" w:fill="auto"/>
              </w:rPr>
              <w:t xml:space="preserve">Diploma Received       </w:t>
            </w:r>
          </w:p>
          <w:p>
            <w:pPr>
              <w:spacing w:before="0" w:after="0" w:line="360" w:lineRule="auto"/>
              <w:ind w:left="0" w:right="0" w:firstLine="180"/>
              <w:jc w:val="both"/>
              <w:rPr>
                <w:color w:val="auto"/>
                <w:spacing w:val="0"/>
                <w:position w:val="0"/>
                <w:shd w:val="clear" w:fill="auto"/>
              </w:rPr>
            </w:pPr>
            <w:r>
              <w:rPr>
                <w:rFonts w:ascii="Times New Roman" w:hAnsi="Times New Roman" w:eastAsia="Times New Roman" w:cs="Times New Roman"/>
                <w:color w:val="auto"/>
                <w:spacing w:val="0"/>
                <w:position w:val="0"/>
                <w:sz w:val="18"/>
                <w:shd w:val="clear" w:fill="auto"/>
              </w:rPr>
              <w:t>Fields of Study</w:t>
            </w:r>
          </w:p>
        </w:tc>
      </w:tr>
      <w:tr>
        <w:tblPrEx>
          <w:tblLayout w:type="fixed"/>
          <w:tblCellMar>
            <w:top w:w="0" w:type="dxa"/>
            <w:left w:w="108" w:type="dxa"/>
            <w:bottom w:w="0" w:type="dxa"/>
            <w:right w:w="108" w:type="dxa"/>
          </w:tblCellMar>
        </w:tblPrEx>
        <w:trPr>
          <w:trHeight w:val="0" w:hRule="atLeast"/>
          <w:jc w:val="center"/>
        </w:trPr>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both"/>
              <w:rPr>
                <w:color w:val="auto"/>
                <w:spacing w:val="0"/>
                <w:position w:val="0"/>
                <w:shd w:val="clear" w:fill="auto"/>
              </w:rPr>
            </w:pPr>
            <w:r>
              <w:rPr>
                <w:rFonts w:ascii="Times New Roman" w:hAnsi="Times New Roman" w:eastAsia="Times New Roman" w:cs="Times New Roman"/>
                <w:color w:val="auto"/>
                <w:spacing w:val="0"/>
                <w:position w:val="0"/>
                <w:sz w:val="21"/>
                <w:shd w:val="clear" w:fill="auto"/>
              </w:rPr>
              <w:t>Students Status</w:t>
            </w:r>
          </w:p>
        </w:tc>
        <w:tc>
          <w:tcPr>
            <w:tcW w:w="12302" w:type="dxa"/>
            <w:gridSpan w:val="6"/>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both"/>
              <w:rPr>
                <w:rFonts w:ascii="宋体" w:hAnsi="宋体" w:eastAsia="宋体" w:cs="宋体"/>
                <w:color w:val="auto"/>
                <w:spacing w:val="0"/>
                <w:position w:val="0"/>
                <w:sz w:val="22"/>
                <w:shd w:val="clear" w:fill="auto"/>
              </w:rPr>
            </w:pPr>
          </w:p>
        </w:tc>
      </w:tr>
      <w:tr>
        <w:tblPrEx>
          <w:tblLayout w:type="fixed"/>
          <w:tblCellMar>
            <w:top w:w="0" w:type="dxa"/>
            <w:left w:w="108" w:type="dxa"/>
            <w:bottom w:w="0" w:type="dxa"/>
            <w:right w:w="108" w:type="dxa"/>
          </w:tblCellMar>
        </w:tblPrEx>
        <w:trPr>
          <w:trHeight w:val="1" w:hRule="atLeast"/>
          <w:jc w:val="center"/>
        </w:trPr>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both"/>
              <w:rPr>
                <w:color w:val="auto"/>
                <w:spacing w:val="0"/>
                <w:position w:val="0"/>
                <w:shd w:val="clear" w:fill="auto"/>
              </w:rPr>
            </w:pPr>
            <w:r>
              <w:rPr>
                <w:rFonts w:ascii="Times New Roman" w:hAnsi="Times New Roman" w:eastAsia="Times New Roman" w:cs="Times New Roman"/>
                <w:color w:val="auto"/>
                <w:spacing w:val="0"/>
                <w:position w:val="0"/>
                <w:sz w:val="21"/>
                <w:shd w:val="clear" w:fill="auto"/>
              </w:rPr>
              <w:t>Financial Resources</w:t>
            </w:r>
          </w:p>
        </w:tc>
        <w:tc>
          <w:tcPr>
            <w:tcW w:w="12302" w:type="dxa"/>
            <w:gridSpan w:val="6"/>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both"/>
              <w:rPr>
                <w:rFonts w:ascii="宋体" w:hAnsi="宋体" w:eastAsia="宋体" w:cs="宋体"/>
                <w:color w:val="auto"/>
                <w:spacing w:val="0"/>
                <w:position w:val="0"/>
                <w:sz w:val="22"/>
                <w:shd w:val="clear" w:fill="auto"/>
              </w:rPr>
            </w:pPr>
          </w:p>
        </w:tc>
      </w:tr>
      <w:tr>
        <w:tblPrEx>
          <w:tblLayout w:type="fixed"/>
          <w:tblCellMar>
            <w:top w:w="0" w:type="dxa"/>
            <w:left w:w="108" w:type="dxa"/>
            <w:bottom w:w="0" w:type="dxa"/>
            <w:right w:w="108" w:type="dxa"/>
          </w:tblCellMar>
        </w:tblPrEx>
        <w:trPr>
          <w:trHeight w:val="1" w:hRule="atLeast"/>
          <w:jc w:val="center"/>
        </w:trPr>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both"/>
              <w:rPr>
                <w:color w:val="auto"/>
                <w:spacing w:val="0"/>
                <w:position w:val="0"/>
                <w:shd w:val="clear" w:fill="auto"/>
              </w:rPr>
            </w:pPr>
            <w:r>
              <w:rPr>
                <w:rFonts w:ascii="Times New Roman" w:hAnsi="Times New Roman" w:eastAsia="Times New Roman" w:cs="Times New Roman"/>
                <w:color w:val="auto"/>
                <w:spacing w:val="0"/>
                <w:position w:val="0"/>
                <w:sz w:val="21"/>
                <w:shd w:val="clear" w:fill="auto"/>
              </w:rPr>
              <w:t>Proposed field of study</w:t>
            </w:r>
          </w:p>
        </w:tc>
        <w:tc>
          <w:tcPr>
            <w:tcW w:w="12302" w:type="dxa"/>
            <w:gridSpan w:val="6"/>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both"/>
              <w:rPr>
                <w:rFonts w:ascii="宋体" w:hAnsi="宋体" w:eastAsia="宋体" w:cs="宋体"/>
                <w:color w:val="auto"/>
                <w:spacing w:val="0"/>
                <w:position w:val="0"/>
                <w:sz w:val="22"/>
                <w:shd w:val="clear" w:fill="auto"/>
              </w:rPr>
            </w:pPr>
          </w:p>
        </w:tc>
      </w:tr>
      <w:tr>
        <w:tblPrEx>
          <w:tblLayout w:type="fixed"/>
          <w:tblCellMar>
            <w:top w:w="0" w:type="dxa"/>
            <w:left w:w="108" w:type="dxa"/>
            <w:bottom w:w="0" w:type="dxa"/>
            <w:right w:w="108" w:type="dxa"/>
          </w:tblCellMar>
        </w:tblPrEx>
        <w:trPr>
          <w:trHeight w:val="0" w:hRule="atLeast"/>
          <w:jc w:val="center"/>
        </w:trPr>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both"/>
              <w:rPr>
                <w:color w:val="auto"/>
                <w:spacing w:val="0"/>
                <w:position w:val="0"/>
                <w:shd w:val="clear" w:fill="auto"/>
              </w:rPr>
            </w:pPr>
            <w:r>
              <w:rPr>
                <w:rFonts w:ascii="Times New Roman" w:hAnsi="Times New Roman" w:eastAsia="Times New Roman" w:cs="Times New Roman"/>
                <w:color w:val="auto"/>
                <w:spacing w:val="0"/>
                <w:position w:val="0"/>
                <w:sz w:val="21"/>
                <w:shd w:val="clear" w:fill="auto"/>
              </w:rPr>
              <w:t>Proposed Study Period</w:t>
            </w:r>
          </w:p>
        </w:tc>
        <w:tc>
          <w:tcPr>
            <w:tcW w:w="12302" w:type="dxa"/>
            <w:gridSpan w:val="6"/>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both"/>
              <w:rPr>
                <w:color w:val="auto"/>
                <w:spacing w:val="0"/>
                <w:position w:val="0"/>
                <w:shd w:val="clear" w:fill="auto"/>
              </w:rPr>
            </w:pPr>
            <w:r>
              <w:rPr>
                <w:rFonts w:ascii="Times New Roman" w:hAnsi="Times New Roman" w:eastAsia="Times New Roman" w:cs="Times New Roman"/>
                <w:color w:val="auto"/>
                <w:spacing w:val="0"/>
                <w:position w:val="0"/>
                <w:sz w:val="21"/>
                <w:shd w:val="clear" w:fill="auto"/>
              </w:rPr>
              <w:t xml:space="preserve">       </w:t>
            </w:r>
          </w:p>
        </w:tc>
      </w:tr>
      <w:tr>
        <w:tblPrEx>
          <w:tblLayout w:type="fixed"/>
          <w:tblCellMar>
            <w:top w:w="0" w:type="dxa"/>
            <w:left w:w="108" w:type="dxa"/>
            <w:bottom w:w="0" w:type="dxa"/>
            <w:right w:w="108" w:type="dxa"/>
          </w:tblCellMar>
        </w:tblPrEx>
        <w:trPr>
          <w:trHeight w:val="1" w:hRule="atLeast"/>
          <w:jc w:val="center"/>
        </w:trPr>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both"/>
              <w:rPr>
                <w:color w:val="auto"/>
                <w:spacing w:val="0"/>
                <w:position w:val="0"/>
                <w:shd w:val="clear" w:fill="auto"/>
              </w:rPr>
            </w:pPr>
            <w:r>
              <w:rPr>
                <w:rFonts w:ascii="Times New Roman" w:hAnsi="Times New Roman" w:eastAsia="Times New Roman" w:cs="Times New Roman"/>
                <w:color w:val="auto"/>
                <w:spacing w:val="0"/>
                <w:position w:val="0"/>
                <w:sz w:val="21"/>
                <w:shd w:val="clear" w:fill="auto"/>
              </w:rPr>
              <w:t>Organization recommending you to P. R. China</w:t>
            </w:r>
          </w:p>
        </w:tc>
        <w:tc>
          <w:tcPr>
            <w:tcW w:w="12302" w:type="dxa"/>
            <w:gridSpan w:val="6"/>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both"/>
              <w:rPr>
                <w:rFonts w:ascii="宋体" w:hAnsi="宋体" w:eastAsia="宋体" w:cs="宋体"/>
                <w:color w:val="auto"/>
                <w:spacing w:val="0"/>
                <w:position w:val="0"/>
                <w:sz w:val="22"/>
                <w:shd w:val="clear" w:fill="auto"/>
              </w:rPr>
            </w:pPr>
          </w:p>
        </w:tc>
      </w:tr>
      <w:tr>
        <w:tblPrEx>
          <w:tblLayout w:type="fixed"/>
          <w:tblCellMar>
            <w:top w:w="0" w:type="dxa"/>
            <w:left w:w="108" w:type="dxa"/>
            <w:bottom w:w="0" w:type="dxa"/>
            <w:right w:w="108" w:type="dxa"/>
          </w:tblCellMar>
        </w:tblPrEx>
        <w:trPr>
          <w:trHeight w:val="1" w:hRule="atLeast"/>
          <w:jc w:val="center"/>
        </w:trPr>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both"/>
              <w:rPr>
                <w:color w:val="auto"/>
                <w:spacing w:val="0"/>
                <w:position w:val="0"/>
                <w:shd w:val="clear" w:fill="auto"/>
              </w:rPr>
            </w:pPr>
            <w:r>
              <w:rPr>
                <w:rFonts w:ascii="Times New Roman" w:hAnsi="Times New Roman" w:eastAsia="Times New Roman" w:cs="Times New Roman"/>
                <w:color w:val="auto"/>
                <w:spacing w:val="0"/>
                <w:position w:val="0"/>
                <w:sz w:val="21"/>
                <w:shd w:val="clear" w:fill="auto"/>
              </w:rPr>
              <w:t>Experiences of learning Chinese</w:t>
            </w:r>
          </w:p>
        </w:tc>
        <w:tc>
          <w:tcPr>
            <w:tcW w:w="12302" w:type="dxa"/>
            <w:gridSpan w:val="6"/>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both"/>
              <w:rPr>
                <w:rFonts w:ascii="宋体" w:hAnsi="宋体" w:eastAsia="宋体" w:cs="宋体"/>
                <w:color w:val="auto"/>
                <w:spacing w:val="0"/>
                <w:position w:val="0"/>
                <w:sz w:val="22"/>
                <w:shd w:val="clear" w:fill="auto"/>
              </w:rPr>
            </w:pPr>
          </w:p>
        </w:tc>
      </w:tr>
      <w:tr>
        <w:tblPrEx>
          <w:tblLayout w:type="fixed"/>
          <w:tblCellMar>
            <w:top w:w="0" w:type="dxa"/>
            <w:left w:w="108" w:type="dxa"/>
            <w:bottom w:w="0" w:type="dxa"/>
            <w:right w:w="108" w:type="dxa"/>
          </w:tblCellMar>
        </w:tblPrEx>
        <w:trPr>
          <w:trHeight w:val="0" w:hRule="atLeast"/>
          <w:jc w:val="center"/>
        </w:trPr>
        <w:tc>
          <w:tcPr>
            <w:tcW w:w="14102"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pPr>
              <w:spacing w:before="0" w:after="0" w:line="240" w:lineRule="auto"/>
              <w:ind w:left="0" w:right="0" w:firstLine="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Language proficiency self-assessment (excellent/intermediate/beginning)</w:t>
            </w:r>
          </w:p>
          <w:p>
            <w:pPr>
              <w:spacing w:before="0" w:after="0" w:line="240" w:lineRule="auto"/>
              <w:ind w:left="0" w:right="0" w:firstLine="0"/>
              <w:jc w:val="both"/>
              <w:rPr>
                <w:rFonts w:ascii="Times New Roman" w:hAnsi="Times New Roman" w:eastAsia="Times New Roman" w:cs="Times New Roman"/>
                <w:color w:val="auto"/>
                <w:spacing w:val="0"/>
                <w:position w:val="0"/>
                <w:sz w:val="21"/>
                <w:shd w:val="clear" w:fill="auto"/>
              </w:rPr>
            </w:pPr>
          </w:p>
          <w:p>
            <w:pPr>
              <w:spacing w:before="0" w:after="0" w:line="240" w:lineRule="auto"/>
              <w:ind w:left="0" w:right="0" w:firstLine="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English </w:t>
            </w:r>
          </w:p>
          <w:p>
            <w:pPr>
              <w:spacing w:before="0" w:after="0" w:line="240" w:lineRule="auto"/>
              <w:ind w:left="0" w:right="0" w:firstLine="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Reading       </w:t>
            </w:r>
          </w:p>
          <w:p>
            <w:pPr>
              <w:spacing w:before="0" w:after="0" w:line="240" w:lineRule="auto"/>
              <w:ind w:left="0" w:right="0" w:firstLine="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Speaking    </w:t>
            </w:r>
          </w:p>
          <w:p>
            <w:pPr>
              <w:spacing w:before="0" w:after="0" w:line="240" w:lineRule="auto"/>
              <w:ind w:left="0" w:right="0" w:firstLine="0"/>
              <w:jc w:val="both"/>
              <w:rPr>
                <w:color w:val="auto"/>
                <w:spacing w:val="0"/>
                <w:position w:val="0"/>
                <w:shd w:val="clear" w:fill="auto"/>
              </w:rPr>
            </w:pPr>
            <w:r>
              <w:rPr>
                <w:rFonts w:ascii="Times New Roman" w:hAnsi="Times New Roman" w:eastAsia="Times New Roman" w:cs="Times New Roman"/>
                <w:color w:val="auto"/>
                <w:spacing w:val="0"/>
                <w:position w:val="0"/>
                <w:sz w:val="21"/>
                <w:shd w:val="clear" w:fill="auto"/>
              </w:rPr>
              <w:t xml:space="preserve">   Writing     </w:t>
            </w:r>
          </w:p>
        </w:tc>
      </w:tr>
    </w:tbl>
    <w:p>
      <w:pPr>
        <w:spacing w:before="0" w:after="0" w:line="240" w:lineRule="auto"/>
        <w:ind w:left="0" w:right="0" w:firstLine="0"/>
        <w:jc w:val="both"/>
        <w:rPr>
          <w:rFonts w:ascii="Times New Roman" w:hAnsi="Times New Roman" w:eastAsia="Times New Roman" w:cs="Times New Roman"/>
          <w:color w:val="auto"/>
          <w:spacing w:val="0"/>
          <w:position w:val="0"/>
          <w:sz w:val="21"/>
          <w:shd w:val="clear" w:fill="auto"/>
        </w:rPr>
      </w:pPr>
    </w:p>
    <w:p>
      <w:pPr>
        <w:spacing w:before="0" w:after="0" w:line="240" w:lineRule="auto"/>
        <w:ind w:left="0" w:right="0" w:firstLine="21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Date of application:</w:t>
      </w:r>
    </w:p>
    <w:sectPr>
      <w:pgSz w:w="11906" w:h="16838"/>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6383640">
    <w:nsid w:val="56CEA698"/>
    <w:multiLevelType w:val="singleLevel"/>
    <w:tmpl w:val="56CEA698"/>
    <w:lvl w:ilvl="0" w:tentative="1">
      <w:start w:val="1"/>
      <w:numFmt w:val="bullet"/>
      <w:lvlText w:val="•"/>
      <w:lvlJc w:val="left"/>
    </w:lvl>
  </w:abstractNum>
  <w:abstractNum w:abstractNumId="1456383651">
    <w:nsid w:val="56CEA6A3"/>
    <w:multiLevelType w:val="singleLevel"/>
    <w:tmpl w:val="56CEA6A3"/>
    <w:lvl w:ilvl="0" w:tentative="1">
      <w:start w:val="1"/>
      <w:numFmt w:val="bullet"/>
      <w:lvlText w:val="•"/>
      <w:lvlJc w:val="left"/>
    </w:lvl>
  </w:abstractNum>
  <w:abstractNum w:abstractNumId="1456383662">
    <w:nsid w:val="56CEA6AE"/>
    <w:multiLevelType w:val="singleLevel"/>
    <w:tmpl w:val="56CEA6AE"/>
    <w:lvl w:ilvl="0" w:tentative="1">
      <w:start w:val="1"/>
      <w:numFmt w:val="bullet"/>
      <w:lvlText w:val="•"/>
      <w:lvlJc w:val="left"/>
    </w:lvl>
  </w:abstractNum>
  <w:abstractNum w:abstractNumId="1456383673">
    <w:nsid w:val="56CEA6B9"/>
    <w:multiLevelType w:val="singleLevel"/>
    <w:tmpl w:val="56CEA6B9"/>
    <w:lvl w:ilvl="0" w:tentative="1">
      <w:start w:val="1"/>
      <w:numFmt w:val="bullet"/>
      <w:lvlText w:val="•"/>
      <w:lvlJc w:val="left"/>
    </w:lvl>
  </w:abstractNum>
  <w:abstractNum w:abstractNumId="1456383684">
    <w:nsid w:val="56CEA6C4"/>
    <w:multiLevelType w:val="singleLevel"/>
    <w:tmpl w:val="56CEA6C4"/>
    <w:lvl w:ilvl="0" w:tentative="1">
      <w:start w:val="1"/>
      <w:numFmt w:val="bullet"/>
      <w:lvlText w:val="•"/>
      <w:lvlJc w:val="left"/>
    </w:lvl>
  </w:abstractNum>
  <w:abstractNum w:abstractNumId="1456383695">
    <w:nsid w:val="56CEA6CF"/>
    <w:multiLevelType w:val="singleLevel"/>
    <w:tmpl w:val="56CEA6CF"/>
    <w:lvl w:ilvl="0" w:tentative="1">
      <w:start w:val="1"/>
      <w:numFmt w:val="bullet"/>
      <w:lvlText w:val="•"/>
      <w:lvlJc w:val="left"/>
    </w:lvl>
  </w:abstractNum>
  <w:abstractNum w:abstractNumId="1456383706">
    <w:nsid w:val="56CEA6DA"/>
    <w:multiLevelType w:val="singleLevel"/>
    <w:tmpl w:val="56CEA6DA"/>
    <w:lvl w:ilvl="0" w:tentative="1">
      <w:start w:val="1"/>
      <w:numFmt w:val="bullet"/>
      <w:lvlText w:val="•"/>
      <w:lvlJc w:val="left"/>
    </w:lvl>
  </w:abstractNum>
  <w:abstractNum w:abstractNumId="1456383717">
    <w:nsid w:val="56CEA6E5"/>
    <w:multiLevelType w:val="singleLevel"/>
    <w:tmpl w:val="56CEA6E5"/>
    <w:lvl w:ilvl="0" w:tentative="1">
      <w:start w:val="1"/>
      <w:numFmt w:val="bullet"/>
      <w:lvlText w:val="•"/>
      <w:lvlJc w:val="left"/>
    </w:lvl>
  </w:abstractNum>
  <w:abstractNum w:abstractNumId="1456383728">
    <w:nsid w:val="56CEA6F0"/>
    <w:multiLevelType w:val="singleLevel"/>
    <w:tmpl w:val="56CEA6F0"/>
    <w:lvl w:ilvl="0" w:tentative="1">
      <w:start w:val="1"/>
      <w:numFmt w:val="bullet"/>
      <w:lvlText w:val="•"/>
      <w:lvlJc w:val="left"/>
    </w:lvl>
  </w:abstractNum>
  <w:abstractNum w:abstractNumId="1456383739">
    <w:nsid w:val="56CEA6FB"/>
    <w:multiLevelType w:val="singleLevel"/>
    <w:tmpl w:val="56CEA6FB"/>
    <w:lvl w:ilvl="0" w:tentative="1">
      <w:start w:val="1"/>
      <w:numFmt w:val="bullet"/>
      <w:lvlText w:val="•"/>
      <w:lvlJc w:val="left"/>
    </w:lvl>
  </w:abstractNum>
  <w:abstractNum w:abstractNumId="1456383750">
    <w:nsid w:val="56CEA706"/>
    <w:multiLevelType w:val="singleLevel"/>
    <w:tmpl w:val="56CEA706"/>
    <w:lvl w:ilvl="0" w:tentative="1">
      <w:start w:val="1"/>
      <w:numFmt w:val="bullet"/>
      <w:lvlText w:val="•"/>
      <w:lvlJc w:val="left"/>
    </w:lvl>
  </w:abstractNum>
  <w:abstractNum w:abstractNumId="1456383761">
    <w:nsid w:val="56CEA711"/>
    <w:multiLevelType w:val="singleLevel"/>
    <w:tmpl w:val="56CEA711"/>
    <w:lvl w:ilvl="0" w:tentative="1">
      <w:start w:val="1"/>
      <w:numFmt w:val="bullet"/>
      <w:lvlText w:val="•"/>
      <w:lvlJc w:val="left"/>
    </w:lvl>
  </w:abstractNum>
  <w:abstractNum w:abstractNumId="1456383772">
    <w:nsid w:val="56CEA71C"/>
    <w:multiLevelType w:val="singleLevel"/>
    <w:tmpl w:val="56CEA71C"/>
    <w:lvl w:ilvl="0" w:tentative="1">
      <w:start w:val="1"/>
      <w:numFmt w:val="bullet"/>
      <w:lvlText w:val="•"/>
      <w:lvlJc w:val="left"/>
    </w:lvl>
  </w:abstractNum>
  <w:abstractNum w:abstractNumId="1456383783">
    <w:nsid w:val="56CEA727"/>
    <w:multiLevelType w:val="singleLevel"/>
    <w:tmpl w:val="56CEA727"/>
    <w:lvl w:ilvl="0" w:tentative="1">
      <w:start w:val="1"/>
      <w:numFmt w:val="bullet"/>
      <w:lvlText w:val="•"/>
      <w:lvlJc w:val="left"/>
    </w:lvl>
  </w:abstractNum>
  <w:abstractNum w:abstractNumId="1456383794">
    <w:nsid w:val="56CEA732"/>
    <w:multiLevelType w:val="singleLevel"/>
    <w:tmpl w:val="56CEA732"/>
    <w:lvl w:ilvl="0" w:tentative="1">
      <w:start w:val="1"/>
      <w:numFmt w:val="bullet"/>
      <w:lvlText w:val="•"/>
      <w:lvlJc w:val="left"/>
    </w:lvl>
  </w:abstractNum>
  <w:abstractNum w:abstractNumId="1456383806">
    <w:nsid w:val="56CEA73E"/>
    <w:multiLevelType w:val="singleLevel"/>
    <w:tmpl w:val="56CEA73E"/>
    <w:lvl w:ilvl="0" w:tentative="1">
      <w:start w:val="1"/>
      <w:numFmt w:val="bullet"/>
      <w:lvlText w:val="•"/>
      <w:lvlJc w:val="left"/>
    </w:lvl>
  </w:abstractNum>
  <w:abstractNum w:abstractNumId="1456383817">
    <w:nsid w:val="56CEA749"/>
    <w:multiLevelType w:val="singleLevel"/>
    <w:tmpl w:val="56CEA749"/>
    <w:lvl w:ilvl="0" w:tentative="1">
      <w:start w:val="1"/>
      <w:numFmt w:val="bullet"/>
      <w:lvlText w:val="•"/>
      <w:lvlJc w:val="left"/>
    </w:lvl>
  </w:abstractNum>
  <w:abstractNum w:abstractNumId="1456383828">
    <w:nsid w:val="56CEA754"/>
    <w:multiLevelType w:val="singleLevel"/>
    <w:tmpl w:val="56CEA754"/>
    <w:lvl w:ilvl="0" w:tentative="1">
      <w:start w:val="1"/>
      <w:numFmt w:val="bullet"/>
      <w:lvlText w:val="•"/>
      <w:lvlJc w:val="left"/>
    </w:lvl>
  </w:abstractNum>
  <w:abstractNum w:abstractNumId="1456383839">
    <w:nsid w:val="56CEA75F"/>
    <w:multiLevelType w:val="singleLevel"/>
    <w:tmpl w:val="56CEA75F"/>
    <w:lvl w:ilvl="0" w:tentative="1">
      <w:start w:val="1"/>
      <w:numFmt w:val="bullet"/>
      <w:lvlText w:val="•"/>
      <w:lvlJc w:val="left"/>
    </w:lvl>
  </w:abstractNum>
  <w:abstractNum w:abstractNumId="1456383850">
    <w:nsid w:val="56CEA76A"/>
    <w:multiLevelType w:val="singleLevel"/>
    <w:tmpl w:val="56CEA76A"/>
    <w:lvl w:ilvl="0" w:tentative="1">
      <w:start w:val="1"/>
      <w:numFmt w:val="bullet"/>
      <w:lvlText w:val="•"/>
      <w:lvlJc w:val="left"/>
    </w:lvl>
  </w:abstractNum>
  <w:num w:numId="1">
    <w:abstractNumId w:val="1456383640"/>
  </w:num>
  <w:num w:numId="2">
    <w:abstractNumId w:val="1456383651"/>
  </w:num>
  <w:num w:numId="3">
    <w:abstractNumId w:val="1456383662"/>
  </w:num>
  <w:num w:numId="4">
    <w:abstractNumId w:val="1456383673"/>
  </w:num>
  <w:num w:numId="5">
    <w:abstractNumId w:val="1456383684"/>
  </w:num>
  <w:num w:numId="6">
    <w:abstractNumId w:val="1456383695"/>
  </w:num>
  <w:num w:numId="7">
    <w:abstractNumId w:val="1456383706"/>
  </w:num>
  <w:num w:numId="8">
    <w:abstractNumId w:val="1456383717"/>
  </w:num>
  <w:num w:numId="9">
    <w:abstractNumId w:val="1456383728"/>
  </w:num>
  <w:num w:numId="10">
    <w:abstractNumId w:val="1456383739"/>
  </w:num>
  <w:num w:numId="11">
    <w:abstractNumId w:val="1456383750"/>
  </w:num>
  <w:num w:numId="12">
    <w:abstractNumId w:val="1456383761"/>
  </w:num>
  <w:num w:numId="13">
    <w:abstractNumId w:val="1456383772"/>
  </w:num>
  <w:num w:numId="14">
    <w:abstractNumId w:val="1456383783"/>
  </w:num>
  <w:num w:numId="15">
    <w:abstractNumId w:val="1456383794"/>
  </w:num>
  <w:num w:numId="16">
    <w:abstractNumId w:val="1456383806"/>
  </w:num>
  <w:num w:numId="17">
    <w:abstractNumId w:val="1456383817"/>
  </w:num>
  <w:num w:numId="18">
    <w:abstractNumId w:val="1456383828"/>
  </w:num>
  <w:num w:numId="19">
    <w:abstractNumId w:val="1456383839"/>
  </w:num>
  <w:num w:numId="20">
    <w:abstractNumId w:val="14563838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compatSetting w:name="compatibilityMode" w:uri="http://schemas.microsoft.com/office/word" w:val="12"/>
  </w:compat>
  <w:rsids>
    <w:rsidRoot w:val="00000000"/>
    <w:rsid w:val="0D27726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ScaleCrop>false</ScaleCrop>
  <LinksUpToDate>false</LinksUpToDate>
  <CharactersWithSpaces>0</CharactersWithSpaces>
  <Application>WPS Office_10.1.0.5511_F1E327BC-269C-435d-A152-05C5408002CA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2016-02-25T06:58:38Z</dcterms:created>
  <dc:creator>PC</dc:creator>
  <cp:lastModifiedBy>PC</cp:lastModifiedBy>
  <dcterms:modified xsi:type="dcterms:W3CDTF">2016-02-25T07:00:55Z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